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550" w:type="pct"/>
        <w:jc w:val="center"/>
        <w:tblLayout w:type="fixed"/>
        <w:tblCellMar>
          <w:left w:w="0" w:type="dxa"/>
          <w:right w:w="0" w:type="dxa"/>
        </w:tblCellMar>
        <w:tblLook w:val="0600" w:firstRow="0" w:lastRow="0" w:firstColumn="0" w:lastColumn="0" w:noHBand="1" w:noVBand="1"/>
        <w:tblDescription w:val="Tabla de diseño de encabezado"/>
      </w:tblPr>
      <w:tblGrid>
        <w:gridCol w:w="2747"/>
      </w:tblGrid>
      <w:tr w:rsidR="00A66B18" w:rsidRPr="0041428F" w14:paraId="671EB188" w14:textId="77777777" w:rsidTr="004D5C4A">
        <w:trPr>
          <w:trHeight w:val="35"/>
          <w:jc w:val="center"/>
        </w:trPr>
        <w:tc>
          <w:tcPr>
            <w:tcW w:w="2747" w:type="dxa"/>
          </w:tcPr>
          <w:p w14:paraId="6B604407" w14:textId="77777777" w:rsidR="00A66B18" w:rsidRPr="0041428F" w:rsidRDefault="00A66B18" w:rsidP="00A66B18">
            <w:pPr>
              <w:pStyle w:val="Informacindecontacto"/>
              <w:rPr>
                <w:color w:val="000000" w:themeColor="text1"/>
              </w:rPr>
            </w:pPr>
          </w:p>
        </w:tc>
      </w:tr>
      <w:tr w:rsidR="00615018" w:rsidRPr="0041428F" w14:paraId="7835AB8A" w14:textId="77777777" w:rsidTr="004D5C4A">
        <w:trPr>
          <w:trHeight w:val="362"/>
          <w:jc w:val="center"/>
        </w:trPr>
        <w:tc>
          <w:tcPr>
            <w:tcW w:w="2747" w:type="dxa"/>
            <w:vAlign w:val="bottom"/>
          </w:tcPr>
          <w:p w14:paraId="021B9BD3" w14:textId="059C5593" w:rsidR="003E24DF" w:rsidRPr="0060694C" w:rsidRDefault="003E24DF" w:rsidP="00A66B18">
            <w:pPr>
              <w:pStyle w:val="Informacindecontacto"/>
              <w:rPr>
                <w:color w:val="000000" w:themeColor="text1"/>
              </w:rPr>
            </w:pPr>
          </w:p>
        </w:tc>
      </w:tr>
    </w:tbl>
    <w:p w14:paraId="2A9C745C" w14:textId="77777777" w:rsidR="00057AE9" w:rsidRDefault="00057AE9" w:rsidP="00057AE9">
      <w:pPr>
        <w:pStyle w:val="Ttulo1"/>
        <w:ind w:left="0"/>
        <w:jc w:val="both"/>
        <w:rPr>
          <w:rFonts w:ascii="Gadugi" w:hAnsi="Gadugi"/>
          <w:b/>
          <w:bCs/>
          <w:sz w:val="28"/>
          <w:szCs w:val="28"/>
          <w:lang w:val="es-MX"/>
        </w:rPr>
        <w:sectPr w:rsidR="00057AE9" w:rsidSect="00057AE9">
          <w:headerReference w:type="default" r:id="rId11"/>
          <w:footerReference w:type="default" r:id="rId12"/>
          <w:pgSz w:w="12240" w:h="15840" w:code="1"/>
          <w:pgMar w:top="720" w:right="720" w:bottom="720" w:left="720" w:header="720" w:footer="720" w:gutter="0"/>
          <w:cols w:num="2" w:space="28"/>
          <w:docGrid w:linePitch="360"/>
        </w:sectPr>
      </w:pPr>
    </w:p>
    <w:p w14:paraId="1AA878DC" w14:textId="362EBA32" w:rsidR="00057AE9" w:rsidRDefault="004D5C4A" w:rsidP="00057AE9">
      <w:pPr>
        <w:pStyle w:val="Ttulo1"/>
        <w:ind w:left="0"/>
        <w:jc w:val="center"/>
        <w:rPr>
          <w:rFonts w:ascii="Gadugi" w:hAnsi="Gadugi"/>
          <w:b/>
          <w:bCs/>
          <w:sz w:val="28"/>
          <w:szCs w:val="28"/>
          <w:lang w:val="es-MX"/>
        </w:rPr>
        <w:sectPr w:rsidR="00057AE9" w:rsidSect="00057AE9">
          <w:type w:val="continuous"/>
          <w:pgSz w:w="12240" w:h="15840" w:code="1"/>
          <w:pgMar w:top="720" w:right="720" w:bottom="720" w:left="720" w:header="720" w:footer="720" w:gutter="0"/>
          <w:cols w:space="28"/>
          <w:docGrid w:linePitch="360"/>
        </w:sectPr>
      </w:pPr>
      <w:r>
        <w:rPr>
          <w:rFonts w:ascii="Gadugi" w:hAnsi="Gadugi"/>
          <w:b/>
          <w:bCs/>
          <w:sz w:val="28"/>
          <w:szCs w:val="28"/>
          <w:lang w:val="es-MX"/>
        </w:rPr>
        <w:t xml:space="preserve">   </w:t>
      </w:r>
      <w:bookmarkStart w:id="0" w:name="_Hlk77591042"/>
      <w:r w:rsidR="00057AE9">
        <w:rPr>
          <w:rFonts w:ascii="Gadugi" w:hAnsi="Gadugi"/>
          <w:b/>
          <w:bCs/>
          <w:sz w:val="28"/>
          <w:szCs w:val="28"/>
          <w:lang w:val="es-MX"/>
        </w:rPr>
        <w:t>abecé de la contribución de vigilados a favor de la supersalud</w:t>
      </w:r>
    </w:p>
    <w:p w14:paraId="68E478DB" w14:textId="77777777" w:rsidR="00057AE9" w:rsidRPr="004D5C4A" w:rsidRDefault="00057AE9" w:rsidP="00057AE9">
      <w:pPr>
        <w:pStyle w:val="Ttulo2"/>
        <w:numPr>
          <w:ilvl w:val="0"/>
          <w:numId w:val="3"/>
        </w:numPr>
        <w:jc w:val="both"/>
        <w:rPr>
          <w:rFonts w:ascii="Gadugi" w:hAnsi="Gadugi"/>
          <w:b/>
          <w:bCs/>
          <w:sz w:val="22"/>
          <w:szCs w:val="22"/>
          <w:lang w:val="es-MX"/>
        </w:rPr>
        <w:sectPr w:rsidR="00057AE9" w:rsidRPr="004D5C4A" w:rsidSect="00057AE9">
          <w:type w:val="continuous"/>
          <w:pgSz w:w="12240" w:h="15840" w:code="1"/>
          <w:pgMar w:top="720" w:right="720" w:bottom="720" w:left="720" w:header="720" w:footer="720" w:gutter="0"/>
          <w:cols w:num="2" w:space="28"/>
          <w:docGrid w:linePitch="360"/>
        </w:sectPr>
      </w:pPr>
    </w:p>
    <w:p w14:paraId="3A099FE9" w14:textId="4F28BCEC" w:rsidR="00103EAC" w:rsidRPr="004D5C4A" w:rsidRDefault="00103EAC" w:rsidP="00057AE9">
      <w:pPr>
        <w:pStyle w:val="Ttulo2"/>
        <w:numPr>
          <w:ilvl w:val="0"/>
          <w:numId w:val="3"/>
        </w:numPr>
        <w:jc w:val="both"/>
        <w:rPr>
          <w:rFonts w:ascii="Gadugi" w:hAnsi="Gadugi"/>
          <w:b/>
          <w:bCs/>
          <w:sz w:val="22"/>
          <w:szCs w:val="22"/>
          <w:lang w:val="es-MX"/>
        </w:rPr>
      </w:pPr>
      <w:r w:rsidRPr="004D5C4A">
        <w:rPr>
          <w:rFonts w:ascii="Gadugi" w:hAnsi="Gadugi"/>
          <w:b/>
          <w:bCs/>
          <w:sz w:val="22"/>
          <w:szCs w:val="22"/>
          <w:lang w:val="es-MX"/>
        </w:rPr>
        <w:t>¿Qué es la contribución de vigilancia a favor de la Superintendencia Nacional de Salud?</w:t>
      </w:r>
    </w:p>
    <w:p w14:paraId="27AF1595" w14:textId="2DA4C255" w:rsidR="0060694C" w:rsidRPr="004D5C4A" w:rsidRDefault="0060694C" w:rsidP="00402D30">
      <w:pPr>
        <w:ind w:left="0"/>
        <w:jc w:val="both"/>
        <w:rPr>
          <w:rFonts w:ascii="Gadugi" w:hAnsi="Gadugi"/>
          <w:sz w:val="22"/>
          <w:szCs w:val="22"/>
          <w:lang w:val="es-MX"/>
        </w:rPr>
      </w:pPr>
      <w:bookmarkStart w:id="1" w:name="_Hlk32313128"/>
      <w:r w:rsidRPr="004D5C4A">
        <w:rPr>
          <w:rFonts w:ascii="Gadugi" w:hAnsi="Gadugi"/>
          <w:sz w:val="22"/>
          <w:szCs w:val="22"/>
          <w:lang w:val="es-MX"/>
        </w:rPr>
        <w:t>De acuerdo con el artículo 76 del Plan Nacional de Desarrollo (Ley 1955 de</w:t>
      </w:r>
      <w:r w:rsidR="00057AE9" w:rsidRPr="004D5C4A">
        <w:rPr>
          <w:rFonts w:ascii="Gadugi" w:hAnsi="Gadugi"/>
          <w:sz w:val="22"/>
          <w:szCs w:val="22"/>
          <w:lang w:val="es-MX"/>
        </w:rPr>
        <w:t xml:space="preserve"> 2019), desde el año 2020 </w:t>
      </w:r>
      <w:r w:rsidR="00057AE9" w:rsidRPr="004D5C4A">
        <w:rPr>
          <w:rFonts w:ascii="Gadugi" w:hAnsi="Gadugi"/>
          <w:b/>
          <w:bCs/>
          <w:sz w:val="22"/>
          <w:szCs w:val="22"/>
          <w:u w:val="single"/>
          <w:lang w:val="es-MX"/>
        </w:rPr>
        <w:t>no se paga tasa</w:t>
      </w:r>
      <w:r w:rsidR="00057AE9" w:rsidRPr="004D5C4A">
        <w:rPr>
          <w:rFonts w:ascii="Gadugi" w:hAnsi="Gadugi"/>
          <w:sz w:val="22"/>
          <w:szCs w:val="22"/>
          <w:lang w:val="es-MX"/>
        </w:rPr>
        <w:t xml:space="preserve"> a favor de la Superintendencia Nacional de Salud (SNS),</w:t>
      </w:r>
      <w:r w:rsidR="00057AE9" w:rsidRPr="004D5C4A">
        <w:rPr>
          <w:rFonts w:ascii="Gadugi" w:hAnsi="Gadugi"/>
          <w:b/>
          <w:bCs/>
          <w:sz w:val="22"/>
          <w:szCs w:val="22"/>
          <w:lang w:val="es-MX"/>
        </w:rPr>
        <w:t xml:space="preserve"> </w:t>
      </w:r>
      <w:r w:rsidR="00057AE9" w:rsidRPr="004D5C4A">
        <w:rPr>
          <w:rFonts w:ascii="Gadugi" w:hAnsi="Gadugi"/>
          <w:b/>
          <w:bCs/>
          <w:sz w:val="22"/>
          <w:szCs w:val="22"/>
          <w:u w:val="single"/>
          <w:lang w:val="es-MX"/>
        </w:rPr>
        <w:t>sino una contribución</w:t>
      </w:r>
      <w:r w:rsidR="00057AE9" w:rsidRPr="004D5C4A">
        <w:rPr>
          <w:rFonts w:ascii="Gadugi" w:hAnsi="Gadugi"/>
          <w:sz w:val="22"/>
          <w:szCs w:val="22"/>
          <w:lang w:val="es-MX"/>
        </w:rPr>
        <w:t xml:space="preserve"> que se invertirá en los costos y gastos que ocasione el funcionamiento y la inversión de la entidad. </w:t>
      </w:r>
      <w:r w:rsidRPr="004D5C4A">
        <w:rPr>
          <w:rFonts w:ascii="Gadugi" w:hAnsi="Gadugi"/>
          <w:sz w:val="22"/>
          <w:szCs w:val="22"/>
          <w:lang w:val="es-MX"/>
        </w:rPr>
        <w:t xml:space="preserve"> </w:t>
      </w:r>
    </w:p>
    <w:bookmarkEnd w:id="1"/>
    <w:p w14:paraId="49884D4A" w14:textId="77777777" w:rsidR="00057AE9" w:rsidRPr="004D5C4A" w:rsidRDefault="00057AE9" w:rsidP="00057AE9">
      <w:pPr>
        <w:pStyle w:val="Ttulo2"/>
        <w:numPr>
          <w:ilvl w:val="0"/>
          <w:numId w:val="3"/>
        </w:numPr>
        <w:jc w:val="both"/>
        <w:rPr>
          <w:rFonts w:ascii="Gadugi" w:hAnsi="Gadugi"/>
          <w:b/>
          <w:bCs/>
          <w:sz w:val="22"/>
          <w:szCs w:val="22"/>
          <w:lang w:val="es-MX"/>
        </w:rPr>
      </w:pPr>
      <w:r w:rsidRPr="004D5C4A">
        <w:rPr>
          <w:rFonts w:ascii="Gadugi" w:hAnsi="Gadugi"/>
          <w:b/>
          <w:bCs/>
          <w:sz w:val="22"/>
          <w:szCs w:val="22"/>
          <w:lang w:val="es-MX"/>
        </w:rPr>
        <w:t xml:space="preserve">¿Quiénes deben pagar la contribución? </w:t>
      </w:r>
    </w:p>
    <w:p w14:paraId="0D09E561" w14:textId="77777777" w:rsidR="00057AE9" w:rsidRPr="004D5C4A" w:rsidRDefault="00057AE9" w:rsidP="00402D30">
      <w:pPr>
        <w:ind w:left="0"/>
        <w:jc w:val="both"/>
        <w:rPr>
          <w:rFonts w:ascii="Gadugi" w:hAnsi="Gadugi"/>
          <w:sz w:val="22"/>
          <w:szCs w:val="22"/>
          <w:lang w:val="es-MX"/>
        </w:rPr>
      </w:pPr>
      <w:r w:rsidRPr="004D5C4A">
        <w:rPr>
          <w:rFonts w:ascii="Gadugi" w:hAnsi="Gadugi"/>
          <w:sz w:val="22"/>
          <w:szCs w:val="22"/>
          <w:lang w:val="es-MX"/>
        </w:rPr>
        <w:t>Las personas jurídicas de derecho privado y derecho público sometidas a Inspección, Vigilancia y Control (IVC) de la SNS, de acuerdo con la ley.</w:t>
      </w:r>
      <w:r w:rsidRPr="004D5C4A">
        <w:rPr>
          <w:rFonts w:ascii="Gadugi" w:hAnsi="Gadugi"/>
          <w:noProof/>
          <w:sz w:val="22"/>
          <w:szCs w:val="22"/>
          <w:lang w:val="es-MX"/>
        </w:rPr>
        <w:t xml:space="preserve"> </w:t>
      </w:r>
    </w:p>
    <w:p w14:paraId="58B12413" w14:textId="5C1359F2" w:rsidR="00B60224" w:rsidRPr="004D5C4A" w:rsidRDefault="00057AE9" w:rsidP="00057AE9">
      <w:pPr>
        <w:pStyle w:val="Ttulo2"/>
        <w:numPr>
          <w:ilvl w:val="0"/>
          <w:numId w:val="3"/>
        </w:numPr>
        <w:jc w:val="both"/>
        <w:rPr>
          <w:rFonts w:ascii="Gadugi" w:hAnsi="Gadugi"/>
          <w:b/>
          <w:bCs/>
          <w:sz w:val="22"/>
          <w:szCs w:val="22"/>
          <w:lang w:val="es-MX"/>
        </w:rPr>
      </w:pPr>
      <w:r w:rsidRPr="004D5C4A">
        <w:rPr>
          <w:rFonts w:ascii="Gadugi" w:hAnsi="Gadugi"/>
          <w:b/>
          <w:bCs/>
          <w:sz w:val="22"/>
          <w:szCs w:val="22"/>
          <w:lang w:val="es-MX"/>
        </w:rPr>
        <w:t>¿Quiénes no deben pagar la contribución?</w:t>
      </w:r>
    </w:p>
    <w:p w14:paraId="00122007" w14:textId="221FAA3D" w:rsidR="00B60224" w:rsidRPr="004D5C4A" w:rsidRDefault="00B60224" w:rsidP="00402D30">
      <w:pPr>
        <w:ind w:left="0"/>
        <w:jc w:val="both"/>
        <w:rPr>
          <w:rFonts w:ascii="Gadugi" w:hAnsi="Gadugi"/>
          <w:sz w:val="22"/>
          <w:szCs w:val="22"/>
          <w:lang w:val="es-MX"/>
        </w:rPr>
      </w:pPr>
      <w:r w:rsidRPr="004D5C4A">
        <w:rPr>
          <w:rFonts w:ascii="Gadugi" w:hAnsi="Gadugi"/>
          <w:sz w:val="22"/>
          <w:szCs w:val="22"/>
          <w:lang w:val="es-MX"/>
        </w:rPr>
        <w:t>La ADRES, INDUMIL, los prestadores de servicios de salud con objeto social diferente, los profesionales independientes, las EPS e IPS Indígenas, las Empresas Sociales del Estado, las Instituciones Prestadoras de Servicios de Salud y los Hospitales Universitarios que se encuentren debidamente acreditados, en los términos del Decreto 903 de 2014 compilado en los artículos 2.5.1.6.1 al 2.5.1.6.12 del Decreto 780 de 2016.</w:t>
      </w:r>
    </w:p>
    <w:p w14:paraId="6F5499C9" w14:textId="040C570D" w:rsidR="00B60224" w:rsidRPr="004D5C4A" w:rsidRDefault="00B60224" w:rsidP="00057AE9">
      <w:pPr>
        <w:pStyle w:val="Ttulo2"/>
        <w:numPr>
          <w:ilvl w:val="0"/>
          <w:numId w:val="3"/>
        </w:numPr>
        <w:jc w:val="both"/>
        <w:rPr>
          <w:rFonts w:ascii="Gadugi" w:hAnsi="Gadugi"/>
          <w:b/>
          <w:bCs/>
          <w:sz w:val="22"/>
          <w:szCs w:val="22"/>
          <w:lang w:val="es-MX"/>
        </w:rPr>
      </w:pPr>
      <w:r w:rsidRPr="004D5C4A">
        <w:rPr>
          <w:rFonts w:ascii="Gadugi" w:hAnsi="Gadugi"/>
          <w:b/>
          <w:bCs/>
          <w:sz w:val="22"/>
          <w:szCs w:val="22"/>
          <w:lang w:val="es-MX"/>
        </w:rPr>
        <w:t>Los monopolios rentísticos de loterías, apuestas permanentes y demás modalidades de los juegos de suerte y azar que exploten, produzcan, administren u operen, bajo cualquier modalidad, ¿son sujetos pasivos de la contribución?</w:t>
      </w:r>
    </w:p>
    <w:p w14:paraId="460B761F" w14:textId="77777777" w:rsidR="007518D9" w:rsidRPr="007518D9" w:rsidRDefault="007518D9" w:rsidP="00B60224">
      <w:pPr>
        <w:jc w:val="both"/>
        <w:rPr>
          <w:rFonts w:ascii="Gadugi" w:hAnsi="Gadugi"/>
          <w:sz w:val="6"/>
          <w:szCs w:val="6"/>
          <w:lang w:val="es-MX"/>
        </w:rPr>
      </w:pPr>
    </w:p>
    <w:p w14:paraId="6D9C7160" w14:textId="39A9E6E3" w:rsidR="00B60224" w:rsidRPr="004D5C4A" w:rsidRDefault="00B60224" w:rsidP="003A5388">
      <w:pPr>
        <w:ind w:left="0"/>
        <w:jc w:val="both"/>
        <w:rPr>
          <w:rFonts w:ascii="Gadugi" w:hAnsi="Gadugi"/>
          <w:sz w:val="22"/>
          <w:szCs w:val="22"/>
          <w:lang w:val="es-MX"/>
        </w:rPr>
      </w:pPr>
      <w:r w:rsidRPr="004D5C4A">
        <w:rPr>
          <w:rFonts w:ascii="Gadugi" w:hAnsi="Gadugi"/>
          <w:sz w:val="22"/>
          <w:szCs w:val="22"/>
          <w:lang w:val="es-MX"/>
        </w:rPr>
        <w:t>Sí son sujetos pasivos, debido a que:</w:t>
      </w:r>
    </w:p>
    <w:p w14:paraId="0BCBEDBE" w14:textId="77777777" w:rsidR="00B60224" w:rsidRPr="009D1CCC" w:rsidRDefault="00B60224" w:rsidP="009D1CCC">
      <w:pPr>
        <w:pStyle w:val="Prrafodelista"/>
        <w:numPr>
          <w:ilvl w:val="0"/>
          <w:numId w:val="9"/>
        </w:numPr>
        <w:jc w:val="both"/>
        <w:rPr>
          <w:rFonts w:ascii="Gadugi" w:hAnsi="Gadugi"/>
          <w:sz w:val="22"/>
          <w:lang w:val="es-MX"/>
        </w:rPr>
      </w:pPr>
      <w:r w:rsidRPr="009D1CCC">
        <w:rPr>
          <w:rFonts w:ascii="Gadugi" w:hAnsi="Gadugi"/>
          <w:sz w:val="22"/>
          <w:lang w:val="es-MX"/>
        </w:rPr>
        <w:t>Son vigilados de la Superintendencia Nacional de Salud, conforme al artículo 121 de la Ley 1438 de 2011.</w:t>
      </w:r>
    </w:p>
    <w:p w14:paraId="60B1DB22" w14:textId="1E4302B7" w:rsidR="00B60224" w:rsidRPr="009D1CCC" w:rsidRDefault="00B60224" w:rsidP="009D1CCC">
      <w:pPr>
        <w:pStyle w:val="Prrafodelista"/>
        <w:numPr>
          <w:ilvl w:val="0"/>
          <w:numId w:val="9"/>
        </w:numPr>
        <w:jc w:val="both"/>
        <w:rPr>
          <w:rFonts w:ascii="Gadugi" w:hAnsi="Gadugi"/>
          <w:sz w:val="22"/>
          <w:lang w:val="es-MX"/>
        </w:rPr>
      </w:pPr>
      <w:r w:rsidRPr="009D1CCC">
        <w:rPr>
          <w:rFonts w:ascii="Gadugi" w:hAnsi="Gadugi"/>
          <w:sz w:val="22"/>
          <w:lang w:val="es-MX"/>
        </w:rPr>
        <w:t>No están expresamente contemplados como exentos en el artículo 76 de la Ley 1955 de 2019.</w:t>
      </w:r>
    </w:p>
    <w:p w14:paraId="2230A289" w14:textId="77777777" w:rsidR="00B60224" w:rsidRPr="009D1CCC" w:rsidRDefault="00B60224" w:rsidP="009D1CCC">
      <w:pPr>
        <w:pStyle w:val="Prrafodelista"/>
        <w:numPr>
          <w:ilvl w:val="0"/>
          <w:numId w:val="9"/>
        </w:numPr>
        <w:jc w:val="both"/>
        <w:rPr>
          <w:rFonts w:ascii="Gadugi" w:hAnsi="Gadugi"/>
          <w:sz w:val="22"/>
          <w:lang w:val="es-MX"/>
        </w:rPr>
      </w:pPr>
      <w:r w:rsidRPr="009D1CCC">
        <w:rPr>
          <w:rFonts w:ascii="Gadugi" w:hAnsi="Gadugi"/>
          <w:sz w:val="22"/>
          <w:lang w:val="es-MX"/>
        </w:rPr>
        <w:t xml:space="preserve">El artículo 61 de la Ley 1955 de 2019, prohíbe gravar estos monopolios con contribuciones parafiscales de carácter municipal, distrital o departamental; </w:t>
      </w:r>
      <w:r w:rsidRPr="00FC1DD7">
        <w:rPr>
          <w:rFonts w:ascii="Gadugi" w:hAnsi="Gadugi"/>
          <w:b/>
          <w:bCs/>
          <w:color w:val="595959" w:themeColor="text1" w:themeTint="A6"/>
          <w:kern w:val="20"/>
          <w:sz w:val="22"/>
          <w:u w:val="single"/>
          <w:lang w:val="es-MX" w:eastAsia="ja-JP"/>
        </w:rPr>
        <w:t>la contribución tiene el carácter de tributo del orden nacional</w:t>
      </w:r>
      <w:r w:rsidRPr="009D1CCC">
        <w:rPr>
          <w:rFonts w:ascii="Gadugi" w:hAnsi="Gadugi"/>
          <w:sz w:val="22"/>
          <w:lang w:val="es-MX"/>
        </w:rPr>
        <w:t xml:space="preserve">, por lo que es legal que a dichos vigilados se les cobre tal gravamen.  </w:t>
      </w:r>
    </w:p>
    <w:p w14:paraId="214BA242" w14:textId="33D2B86F" w:rsidR="00B60224" w:rsidRPr="004D5C4A" w:rsidRDefault="008B6F7A" w:rsidP="00B60224">
      <w:pPr>
        <w:rPr>
          <w:sz w:val="22"/>
          <w:szCs w:val="22"/>
          <w:lang w:val="es-MX"/>
        </w:rPr>
      </w:pPr>
      <w:r w:rsidRPr="004D5C4A">
        <w:rPr>
          <w:rFonts w:ascii="Gadugi" w:hAnsi="Gadugi"/>
          <w:noProof/>
          <w:sz w:val="22"/>
          <w:szCs w:val="22"/>
          <w:lang w:val="es-MX"/>
        </w:rPr>
        <w:drawing>
          <wp:anchor distT="0" distB="0" distL="114300" distR="114300" simplePos="0" relativeHeight="251658240" behindDoc="1" locked="0" layoutInCell="1" allowOverlap="1" wp14:anchorId="64EEA028" wp14:editId="03DAB861">
            <wp:simplePos x="0" y="0"/>
            <wp:positionH relativeFrom="column">
              <wp:posOffset>603757</wp:posOffset>
            </wp:positionH>
            <wp:positionV relativeFrom="paragraph">
              <wp:posOffset>-114173</wp:posOffset>
            </wp:positionV>
            <wp:extent cx="2223821" cy="1545900"/>
            <wp:effectExtent l="0" t="0" r="5080" b="0"/>
            <wp:wrapThrough wrapText="bothSides">
              <wp:wrapPolygon edited="0">
                <wp:start x="0" y="0"/>
                <wp:lineTo x="0" y="21298"/>
                <wp:lineTo x="21464" y="21298"/>
                <wp:lineTo x="21464"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rotWithShape="1">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6443" r="5628"/>
                    <a:stretch/>
                  </pic:blipFill>
                  <pic:spPr bwMode="auto">
                    <a:xfrm>
                      <a:off x="0" y="0"/>
                      <a:ext cx="2231504" cy="15512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1CB4DA" w14:textId="77777777" w:rsidR="00B60224" w:rsidRPr="004D5C4A" w:rsidRDefault="00B60224" w:rsidP="00B60224">
      <w:pPr>
        <w:jc w:val="both"/>
        <w:rPr>
          <w:rFonts w:ascii="Gadugi" w:hAnsi="Gadugi"/>
          <w:sz w:val="22"/>
          <w:szCs w:val="22"/>
          <w:lang w:val="es-MX"/>
        </w:rPr>
      </w:pPr>
    </w:p>
    <w:p w14:paraId="76CCAED3" w14:textId="6B60EA87" w:rsidR="00B60224" w:rsidRPr="004D5C4A" w:rsidRDefault="00B60224" w:rsidP="00B60224">
      <w:pPr>
        <w:jc w:val="both"/>
        <w:rPr>
          <w:rFonts w:ascii="Gadugi" w:hAnsi="Gadugi"/>
          <w:sz w:val="22"/>
          <w:szCs w:val="22"/>
          <w:lang w:val="es-MX"/>
        </w:rPr>
      </w:pPr>
      <w:r w:rsidRPr="004D5C4A">
        <w:rPr>
          <w:rFonts w:ascii="Gadugi" w:hAnsi="Gadugi"/>
          <w:sz w:val="22"/>
          <w:szCs w:val="22"/>
          <w:lang w:val="es-MX"/>
        </w:rPr>
        <w:t xml:space="preserve"> </w:t>
      </w:r>
    </w:p>
    <w:p w14:paraId="56FB03C6" w14:textId="25D9891C" w:rsidR="00B60224" w:rsidRPr="004D5C4A" w:rsidRDefault="00B60224" w:rsidP="0060694C">
      <w:pPr>
        <w:jc w:val="both"/>
        <w:rPr>
          <w:rFonts w:ascii="Gadugi" w:hAnsi="Gadugi"/>
          <w:sz w:val="22"/>
          <w:szCs w:val="22"/>
          <w:lang w:val="es-MX"/>
        </w:rPr>
      </w:pPr>
    </w:p>
    <w:p w14:paraId="1AAEF141" w14:textId="77777777" w:rsidR="009C1BF2" w:rsidRPr="004D5C4A" w:rsidRDefault="009C1BF2" w:rsidP="009C1BF2">
      <w:pPr>
        <w:pStyle w:val="Ttulo2"/>
        <w:numPr>
          <w:ilvl w:val="0"/>
          <w:numId w:val="3"/>
        </w:numPr>
        <w:rPr>
          <w:rFonts w:ascii="Gadugi" w:hAnsi="Gadugi"/>
          <w:b/>
          <w:bCs/>
          <w:sz w:val="22"/>
          <w:szCs w:val="22"/>
        </w:rPr>
        <w:sectPr w:rsidR="009C1BF2" w:rsidRPr="004D5C4A" w:rsidSect="00057AE9">
          <w:type w:val="continuous"/>
          <w:pgSz w:w="12240" w:h="15840" w:code="1"/>
          <w:pgMar w:top="720" w:right="720" w:bottom="720" w:left="720" w:header="720" w:footer="720" w:gutter="0"/>
          <w:cols w:num="2" w:space="28"/>
          <w:docGrid w:linePitch="360"/>
        </w:sectPr>
      </w:pPr>
    </w:p>
    <w:p w14:paraId="0F34DEC1" w14:textId="042D86D2" w:rsidR="004D5C4A" w:rsidRDefault="004D5C4A" w:rsidP="004D5C4A">
      <w:pPr>
        <w:pStyle w:val="Ttulo2"/>
        <w:ind w:left="927"/>
        <w:rPr>
          <w:rFonts w:ascii="Gadugi" w:hAnsi="Gadugi"/>
          <w:b/>
          <w:bCs/>
          <w:sz w:val="22"/>
          <w:szCs w:val="22"/>
        </w:rPr>
      </w:pPr>
    </w:p>
    <w:p w14:paraId="6199DFD5" w14:textId="77777777" w:rsidR="003A5388" w:rsidRPr="003A5388" w:rsidRDefault="003A5388" w:rsidP="003A5388"/>
    <w:p w14:paraId="58E1F4A0" w14:textId="77777777" w:rsidR="00F37E5A" w:rsidRDefault="00F37E5A" w:rsidP="00F37E5A">
      <w:pPr>
        <w:pStyle w:val="Ttulo2"/>
        <w:ind w:left="360"/>
        <w:rPr>
          <w:rFonts w:ascii="Gadugi" w:hAnsi="Gadugi"/>
          <w:b/>
          <w:bCs/>
          <w:sz w:val="22"/>
          <w:szCs w:val="22"/>
        </w:rPr>
      </w:pPr>
    </w:p>
    <w:p w14:paraId="7A2485EB" w14:textId="174CB120" w:rsidR="00402D30" w:rsidRPr="00402D30" w:rsidRDefault="009C1BF2" w:rsidP="00402D30">
      <w:pPr>
        <w:pStyle w:val="Ttulo2"/>
        <w:numPr>
          <w:ilvl w:val="0"/>
          <w:numId w:val="3"/>
        </w:numPr>
        <w:rPr>
          <w:rFonts w:ascii="Gadugi" w:hAnsi="Gadugi"/>
          <w:b/>
          <w:bCs/>
          <w:sz w:val="22"/>
          <w:szCs w:val="22"/>
        </w:rPr>
      </w:pPr>
      <w:r w:rsidRPr="004D5C4A">
        <w:rPr>
          <w:rFonts w:ascii="Gadugi" w:hAnsi="Gadugi"/>
          <w:b/>
          <w:bCs/>
          <w:sz w:val="22"/>
          <w:szCs w:val="22"/>
        </w:rPr>
        <w:t xml:space="preserve">¿Cuáles son los cambios con respecto </w:t>
      </w:r>
      <w:r w:rsidR="00402D30">
        <w:rPr>
          <w:rFonts w:ascii="Gadugi" w:hAnsi="Gadugi"/>
          <w:b/>
          <w:bCs/>
          <w:sz w:val="22"/>
          <w:szCs w:val="22"/>
        </w:rPr>
        <w:t>a</w:t>
      </w:r>
      <w:r w:rsidRPr="004D5C4A">
        <w:rPr>
          <w:rFonts w:ascii="Gadugi" w:hAnsi="Gadugi"/>
          <w:b/>
          <w:bCs/>
          <w:sz w:val="22"/>
          <w:szCs w:val="22"/>
        </w:rPr>
        <w:t xml:space="preserve"> la tasa?</w:t>
      </w:r>
      <w:r w:rsidR="00402D30">
        <w:rPr>
          <w:rFonts w:ascii="Gadugi" w:hAnsi="Gadugi"/>
          <w:b/>
          <w:bCs/>
          <w:sz w:val="22"/>
          <w:szCs w:val="22"/>
        </w:rPr>
        <w:t xml:space="preserve"> </w:t>
      </w:r>
    </w:p>
    <w:p w14:paraId="7EB6A2B2" w14:textId="77777777" w:rsidR="004D5C4A" w:rsidRPr="004D5C4A" w:rsidRDefault="004D5C4A" w:rsidP="004D5C4A">
      <w:pPr>
        <w:spacing w:after="0"/>
        <w:rPr>
          <w:sz w:val="2"/>
          <w:szCs w:val="2"/>
        </w:rPr>
      </w:pPr>
    </w:p>
    <w:tbl>
      <w:tblPr>
        <w:tblStyle w:val="Tablaconcuadrcula4-nfasis1"/>
        <w:tblW w:w="0" w:type="auto"/>
        <w:tblInd w:w="421" w:type="dxa"/>
        <w:tblLook w:val="04A0" w:firstRow="1" w:lastRow="0" w:firstColumn="1" w:lastColumn="0" w:noHBand="0" w:noVBand="1"/>
      </w:tblPr>
      <w:tblGrid>
        <w:gridCol w:w="4677"/>
        <w:gridCol w:w="5138"/>
      </w:tblGrid>
      <w:tr w:rsidR="004D5C4A" w:rsidRPr="00C0741B" w14:paraId="42355F23" w14:textId="77777777" w:rsidTr="00BB05C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677" w:type="dxa"/>
          </w:tcPr>
          <w:p w14:paraId="6F3C4C0F" w14:textId="77777777" w:rsidR="004D5C4A" w:rsidRPr="009C1BF2" w:rsidRDefault="004D5C4A" w:rsidP="00FC1DD7">
            <w:pPr>
              <w:jc w:val="center"/>
              <w:rPr>
                <w:rFonts w:ascii="Gadugi" w:hAnsi="Gadugi"/>
                <w:b w:val="0"/>
                <w:bCs w:val="0"/>
                <w:color w:val="FFFFFF" w:themeColor="background1"/>
                <w:sz w:val="20"/>
              </w:rPr>
            </w:pPr>
            <w:r w:rsidRPr="009C1BF2">
              <w:rPr>
                <w:rFonts w:ascii="Gadugi" w:hAnsi="Gadugi"/>
                <w:color w:val="FFFFFF" w:themeColor="background1"/>
                <w:sz w:val="20"/>
              </w:rPr>
              <w:t>ANTES</w:t>
            </w:r>
          </w:p>
        </w:tc>
        <w:tc>
          <w:tcPr>
            <w:tcW w:w="5138" w:type="dxa"/>
          </w:tcPr>
          <w:p w14:paraId="773EE072" w14:textId="77777777" w:rsidR="004D5C4A" w:rsidRPr="009C1BF2" w:rsidRDefault="004D5C4A" w:rsidP="00FC1DD7">
            <w:pPr>
              <w:jc w:val="center"/>
              <w:cnfStyle w:val="100000000000" w:firstRow="1" w:lastRow="0" w:firstColumn="0" w:lastColumn="0" w:oddVBand="0" w:evenVBand="0" w:oddHBand="0" w:evenHBand="0" w:firstRowFirstColumn="0" w:firstRowLastColumn="0" w:lastRowFirstColumn="0" w:lastRowLastColumn="0"/>
              <w:rPr>
                <w:rFonts w:ascii="Gadugi" w:hAnsi="Gadugi"/>
                <w:b w:val="0"/>
                <w:bCs w:val="0"/>
                <w:color w:val="FFFFFF" w:themeColor="background1"/>
                <w:sz w:val="20"/>
              </w:rPr>
            </w:pPr>
            <w:r w:rsidRPr="009C1BF2">
              <w:rPr>
                <w:rFonts w:ascii="Gadugi" w:hAnsi="Gadugi"/>
                <w:color w:val="FFFFFF" w:themeColor="background1"/>
                <w:sz w:val="20"/>
              </w:rPr>
              <w:t>AHORA</w:t>
            </w:r>
          </w:p>
        </w:tc>
      </w:tr>
      <w:tr w:rsidR="004D5C4A" w:rsidRPr="00C0741B" w14:paraId="4F2E64BF" w14:textId="77777777" w:rsidTr="00BB05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7" w:type="dxa"/>
          </w:tcPr>
          <w:p w14:paraId="148FA6F2" w14:textId="77777777" w:rsidR="004D5C4A" w:rsidRPr="009C1BF2" w:rsidRDefault="004D5C4A" w:rsidP="007518D9">
            <w:pPr>
              <w:jc w:val="both"/>
              <w:rPr>
                <w:rFonts w:ascii="Gadugi" w:hAnsi="Gadugi"/>
                <w:sz w:val="20"/>
              </w:rPr>
            </w:pPr>
            <w:r w:rsidRPr="009C1BF2">
              <w:rPr>
                <w:rFonts w:ascii="Gadugi" w:hAnsi="Gadugi"/>
                <w:sz w:val="20"/>
              </w:rPr>
              <w:t>Artículo 98 Ley 488 de 1998</w:t>
            </w:r>
          </w:p>
        </w:tc>
        <w:tc>
          <w:tcPr>
            <w:tcW w:w="5138" w:type="dxa"/>
          </w:tcPr>
          <w:p w14:paraId="66045499" w14:textId="77777777" w:rsidR="004D5C4A" w:rsidRPr="009C1BF2" w:rsidRDefault="004D5C4A" w:rsidP="007518D9">
            <w:pPr>
              <w:jc w:val="both"/>
              <w:cnfStyle w:val="000000100000" w:firstRow="0" w:lastRow="0" w:firstColumn="0" w:lastColumn="0" w:oddVBand="0" w:evenVBand="0" w:oddHBand="1" w:evenHBand="0" w:firstRowFirstColumn="0" w:firstRowLastColumn="0" w:lastRowFirstColumn="0" w:lastRowLastColumn="0"/>
              <w:rPr>
                <w:rFonts w:ascii="Gadugi" w:hAnsi="Gadugi"/>
                <w:b/>
                <w:bCs/>
                <w:sz w:val="20"/>
              </w:rPr>
            </w:pPr>
            <w:r w:rsidRPr="009C1BF2">
              <w:rPr>
                <w:rFonts w:ascii="Gadugi" w:hAnsi="Gadugi"/>
                <w:b/>
                <w:bCs/>
                <w:sz w:val="20"/>
              </w:rPr>
              <w:t>Artículo 76 Ley 1955 de 2019</w:t>
            </w:r>
          </w:p>
        </w:tc>
      </w:tr>
      <w:tr w:rsidR="004D5C4A" w:rsidRPr="00C0741B" w14:paraId="21C6F93F" w14:textId="77777777" w:rsidTr="00402D30">
        <w:trPr>
          <w:trHeight w:val="1055"/>
        </w:trPr>
        <w:tc>
          <w:tcPr>
            <w:cnfStyle w:val="001000000000" w:firstRow="0" w:lastRow="0" w:firstColumn="1" w:lastColumn="0" w:oddVBand="0" w:evenVBand="0" w:oddHBand="0" w:evenHBand="0" w:firstRowFirstColumn="0" w:firstRowLastColumn="0" w:lastRowFirstColumn="0" w:lastRowLastColumn="0"/>
            <w:tcW w:w="4677" w:type="dxa"/>
          </w:tcPr>
          <w:p w14:paraId="41DBD432" w14:textId="77777777" w:rsidR="004D5C4A" w:rsidRPr="009C1BF2" w:rsidRDefault="004D5C4A" w:rsidP="007518D9">
            <w:pPr>
              <w:ind w:left="0"/>
              <w:jc w:val="both"/>
              <w:rPr>
                <w:rFonts w:ascii="Gadugi" w:hAnsi="Gadugi"/>
                <w:b w:val="0"/>
                <w:bCs w:val="0"/>
                <w:sz w:val="20"/>
              </w:rPr>
            </w:pPr>
            <w:r w:rsidRPr="004D5C4A">
              <w:rPr>
                <w:rFonts w:ascii="Gadugi" w:hAnsi="Gadugi"/>
                <w:b w:val="0"/>
                <w:bCs w:val="0"/>
                <w:sz w:val="20"/>
              </w:rPr>
              <w:t>Tasa a favor de la Superintendencia Nacional de Salud destinada a garantizar el cumplimiento o desarrollo de inspección y vigilancia.</w:t>
            </w:r>
          </w:p>
        </w:tc>
        <w:tc>
          <w:tcPr>
            <w:tcW w:w="5138" w:type="dxa"/>
          </w:tcPr>
          <w:p w14:paraId="29684FB7" w14:textId="77777777" w:rsidR="004D5C4A" w:rsidRPr="009C1BF2" w:rsidRDefault="004D5C4A" w:rsidP="00D775AA">
            <w:pPr>
              <w:ind w:left="0"/>
              <w:jc w:val="both"/>
              <w:cnfStyle w:val="000000000000" w:firstRow="0" w:lastRow="0" w:firstColumn="0" w:lastColumn="0" w:oddVBand="0" w:evenVBand="0" w:oddHBand="0" w:evenHBand="0" w:firstRowFirstColumn="0" w:firstRowLastColumn="0" w:lastRowFirstColumn="0" w:lastRowLastColumn="0"/>
              <w:rPr>
                <w:rFonts w:ascii="Gadugi" w:hAnsi="Gadugi"/>
                <w:sz w:val="20"/>
              </w:rPr>
            </w:pPr>
            <w:r w:rsidRPr="009C1BF2">
              <w:rPr>
                <w:rFonts w:ascii="Gadugi" w:hAnsi="Gadugi"/>
                <w:sz w:val="20"/>
              </w:rPr>
              <w:t>La contribución tendrá como fin apoyar el cubrimiento de los costos y gastos que ocasione el funcionamiento e inversión.</w:t>
            </w:r>
          </w:p>
        </w:tc>
      </w:tr>
      <w:tr w:rsidR="004D5C4A" w:rsidRPr="00C0741B" w14:paraId="4521DA00" w14:textId="77777777" w:rsidTr="00BB05CC">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4677" w:type="dxa"/>
          </w:tcPr>
          <w:p w14:paraId="6954B097" w14:textId="77777777" w:rsidR="004D5C4A" w:rsidRPr="009C1BF2" w:rsidRDefault="004D5C4A" w:rsidP="00D775AA">
            <w:pPr>
              <w:ind w:left="0"/>
              <w:jc w:val="both"/>
              <w:rPr>
                <w:rFonts w:ascii="Gadugi" w:hAnsi="Gadugi"/>
                <w:b w:val="0"/>
                <w:bCs w:val="0"/>
                <w:sz w:val="20"/>
              </w:rPr>
            </w:pPr>
            <w:r w:rsidRPr="004D5C4A">
              <w:rPr>
                <w:rFonts w:ascii="Gadugi" w:hAnsi="Gadugi"/>
                <w:b w:val="0"/>
                <w:bCs w:val="0"/>
                <w:sz w:val="20"/>
              </w:rPr>
              <w:t>La tarifa de la tasa se fija de acuerdo con un sistema y método, que determina la misma ley.</w:t>
            </w:r>
          </w:p>
        </w:tc>
        <w:tc>
          <w:tcPr>
            <w:tcW w:w="5138" w:type="dxa"/>
          </w:tcPr>
          <w:p w14:paraId="71076E5D" w14:textId="6C24B26C" w:rsidR="004D5C4A" w:rsidRPr="009C1BF2" w:rsidRDefault="004D5C4A" w:rsidP="00D775AA">
            <w:pPr>
              <w:ind w:left="0"/>
              <w:jc w:val="both"/>
              <w:cnfStyle w:val="000000100000" w:firstRow="0" w:lastRow="0" w:firstColumn="0" w:lastColumn="0" w:oddVBand="0" w:evenVBand="0" w:oddHBand="1" w:evenHBand="0" w:firstRowFirstColumn="0" w:firstRowLastColumn="0" w:lastRowFirstColumn="0" w:lastRowLastColumn="0"/>
              <w:rPr>
                <w:rFonts w:ascii="Gadugi" w:hAnsi="Gadugi"/>
                <w:sz w:val="20"/>
                <w:highlight w:val="yellow"/>
              </w:rPr>
            </w:pPr>
            <w:r w:rsidRPr="009C1BF2">
              <w:rPr>
                <w:rFonts w:ascii="Gadugi" w:hAnsi="Gadugi"/>
                <w:sz w:val="20"/>
              </w:rPr>
              <w:t>Mediante resolución, se establece la tarifa</w:t>
            </w:r>
            <w:r>
              <w:rPr>
                <w:rFonts w:ascii="Gadugi" w:hAnsi="Gadugi"/>
                <w:sz w:val="20"/>
              </w:rPr>
              <w:t xml:space="preserve"> </w:t>
            </w:r>
            <w:r w:rsidRPr="009C1BF2">
              <w:rPr>
                <w:rFonts w:ascii="Gadugi" w:hAnsi="Gadugi"/>
                <w:sz w:val="20"/>
              </w:rPr>
              <w:t xml:space="preserve">de la contribución a cobrar que no podrá ser superior al cero coma dos por ciento (0,2%) </w:t>
            </w:r>
            <w:r w:rsidRPr="009C1BF2">
              <w:rPr>
                <w:rFonts w:ascii="Gadugi" w:hAnsi="Gadugi"/>
                <w:sz w:val="20"/>
                <w:lang w:val="es-MX"/>
              </w:rPr>
              <w:t xml:space="preserve">de </w:t>
            </w:r>
            <w:r w:rsidRPr="009C1BF2">
              <w:rPr>
                <w:rFonts w:ascii="Gadugi" w:hAnsi="Gadugi"/>
                <w:sz w:val="20"/>
                <w:lang w:val="es"/>
              </w:rPr>
              <w:t>los ingresos operacionales del sector causados a 31 de diciembre del año inmediatamente anterior</w:t>
            </w:r>
            <w:r w:rsidRPr="009C1BF2">
              <w:rPr>
                <w:rFonts w:ascii="Gadugi" w:hAnsi="Gadugi"/>
                <w:sz w:val="20"/>
              </w:rPr>
              <w:t xml:space="preserve">. </w:t>
            </w:r>
          </w:p>
        </w:tc>
      </w:tr>
      <w:tr w:rsidR="004D5C4A" w:rsidRPr="00C0741B" w14:paraId="759FAAFD" w14:textId="77777777" w:rsidTr="00BB05CC">
        <w:trPr>
          <w:trHeight w:val="514"/>
        </w:trPr>
        <w:tc>
          <w:tcPr>
            <w:cnfStyle w:val="001000000000" w:firstRow="0" w:lastRow="0" w:firstColumn="1" w:lastColumn="0" w:oddVBand="0" w:evenVBand="0" w:oddHBand="0" w:evenHBand="0" w:firstRowFirstColumn="0" w:firstRowLastColumn="0" w:lastRowFirstColumn="0" w:lastRowLastColumn="0"/>
            <w:tcW w:w="4677" w:type="dxa"/>
          </w:tcPr>
          <w:p w14:paraId="3EB50159" w14:textId="77777777" w:rsidR="004D5C4A" w:rsidRPr="009C1BF2" w:rsidRDefault="004D5C4A" w:rsidP="007518D9">
            <w:pPr>
              <w:ind w:left="0"/>
              <w:jc w:val="both"/>
              <w:rPr>
                <w:rFonts w:ascii="Gadugi" w:hAnsi="Gadugi"/>
                <w:b w:val="0"/>
                <w:bCs w:val="0"/>
                <w:sz w:val="20"/>
              </w:rPr>
            </w:pPr>
            <w:r w:rsidRPr="004D5C4A">
              <w:rPr>
                <w:rFonts w:ascii="Gadugi" w:hAnsi="Gadugi"/>
                <w:b w:val="0"/>
                <w:bCs w:val="0"/>
                <w:sz w:val="20"/>
              </w:rPr>
              <w:t>La tasa incluirá el valor por el servicio prestado.</w:t>
            </w:r>
          </w:p>
        </w:tc>
        <w:tc>
          <w:tcPr>
            <w:tcW w:w="5138" w:type="dxa"/>
          </w:tcPr>
          <w:p w14:paraId="41019AE2" w14:textId="77777777" w:rsidR="004D5C4A" w:rsidRPr="009C1BF2" w:rsidRDefault="004D5C4A" w:rsidP="00D775AA">
            <w:pPr>
              <w:ind w:left="0"/>
              <w:cnfStyle w:val="000000000000" w:firstRow="0" w:lastRow="0" w:firstColumn="0" w:lastColumn="0" w:oddVBand="0" w:evenVBand="0" w:oddHBand="0" w:evenHBand="0" w:firstRowFirstColumn="0" w:firstRowLastColumn="0" w:lastRowFirstColumn="0" w:lastRowLastColumn="0"/>
              <w:rPr>
                <w:rFonts w:ascii="Gadugi" w:hAnsi="Gadugi"/>
                <w:sz w:val="20"/>
              </w:rPr>
            </w:pPr>
            <w:r w:rsidRPr="009C1BF2">
              <w:rPr>
                <w:rFonts w:ascii="Gadugi" w:hAnsi="Gadugi"/>
                <w:sz w:val="20"/>
              </w:rPr>
              <w:t>NO se paga por ningún servicio.</w:t>
            </w:r>
          </w:p>
        </w:tc>
      </w:tr>
      <w:tr w:rsidR="004D5C4A" w:rsidRPr="00C0741B" w14:paraId="6ADF3825" w14:textId="77777777" w:rsidTr="00BB05CC">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4677" w:type="dxa"/>
          </w:tcPr>
          <w:p w14:paraId="096F926A" w14:textId="588F0B98" w:rsidR="004D5C4A" w:rsidRPr="009C1BF2" w:rsidRDefault="004D5C4A" w:rsidP="007518D9">
            <w:pPr>
              <w:ind w:left="0"/>
              <w:jc w:val="both"/>
              <w:rPr>
                <w:rFonts w:ascii="Gadugi" w:hAnsi="Gadugi"/>
                <w:b w:val="0"/>
                <w:bCs w:val="0"/>
                <w:sz w:val="20"/>
              </w:rPr>
            </w:pPr>
            <w:r w:rsidRPr="004D5C4A">
              <w:rPr>
                <w:rFonts w:ascii="Gadugi" w:hAnsi="Gadugi"/>
                <w:b w:val="0"/>
                <w:bCs w:val="0"/>
                <w:sz w:val="20"/>
              </w:rPr>
              <w:t xml:space="preserve">El Gobierno Nacional, teniendo en cuenta los costos de supervisión y control, </w:t>
            </w:r>
            <w:r w:rsidR="004D2495" w:rsidRPr="004D5C4A">
              <w:rPr>
                <w:rFonts w:ascii="Gadugi" w:hAnsi="Gadugi"/>
                <w:b w:val="0"/>
                <w:bCs w:val="0"/>
                <w:sz w:val="20"/>
              </w:rPr>
              <w:t>definí</w:t>
            </w:r>
            <w:r w:rsidR="004D2495">
              <w:rPr>
                <w:rFonts w:ascii="Gadugi" w:hAnsi="Gadugi"/>
                <w:b w:val="0"/>
                <w:bCs w:val="0"/>
                <w:sz w:val="20"/>
              </w:rPr>
              <w:t>a</w:t>
            </w:r>
            <w:r w:rsidRPr="004D5C4A">
              <w:rPr>
                <w:rFonts w:ascii="Gadugi" w:hAnsi="Gadugi"/>
                <w:b w:val="0"/>
                <w:bCs w:val="0"/>
                <w:sz w:val="20"/>
              </w:rPr>
              <w:t xml:space="preserve"> anualmente las bases sobre las cuales se ha</w:t>
            </w:r>
            <w:r w:rsidR="004D2495">
              <w:rPr>
                <w:rFonts w:ascii="Gadugi" w:hAnsi="Gadugi"/>
                <w:b w:val="0"/>
                <w:bCs w:val="0"/>
                <w:sz w:val="20"/>
              </w:rPr>
              <w:t xml:space="preserve">ce </w:t>
            </w:r>
            <w:r w:rsidRPr="004D5C4A">
              <w:rPr>
                <w:rFonts w:ascii="Gadugi" w:hAnsi="Gadugi"/>
                <w:b w:val="0"/>
                <w:bCs w:val="0"/>
                <w:sz w:val="20"/>
              </w:rPr>
              <w:t>el cálculo de dicha tasa.</w:t>
            </w:r>
          </w:p>
        </w:tc>
        <w:tc>
          <w:tcPr>
            <w:tcW w:w="5138" w:type="dxa"/>
          </w:tcPr>
          <w:p w14:paraId="1850B292" w14:textId="77777777" w:rsidR="004D5C4A" w:rsidRPr="009C1BF2" w:rsidRDefault="004D5C4A" w:rsidP="00D775AA">
            <w:pPr>
              <w:ind w:left="0"/>
              <w:cnfStyle w:val="000000100000" w:firstRow="0" w:lastRow="0" w:firstColumn="0" w:lastColumn="0" w:oddVBand="0" w:evenVBand="0" w:oddHBand="1" w:evenHBand="0" w:firstRowFirstColumn="0" w:firstRowLastColumn="0" w:lastRowFirstColumn="0" w:lastRowLastColumn="0"/>
              <w:rPr>
                <w:rFonts w:ascii="Gadugi" w:hAnsi="Gadugi"/>
                <w:sz w:val="20"/>
              </w:rPr>
            </w:pPr>
            <w:r w:rsidRPr="009C1BF2">
              <w:rPr>
                <w:rFonts w:ascii="Gadugi" w:hAnsi="Gadugi"/>
                <w:sz w:val="20"/>
              </w:rPr>
              <w:t>La base gravable corresponde a los Ingresos Operacionales del Sector (IOCS).</w:t>
            </w:r>
          </w:p>
        </w:tc>
      </w:tr>
      <w:tr w:rsidR="004D5C4A" w:rsidRPr="00C0741B" w14:paraId="73D8D2D0" w14:textId="77777777" w:rsidTr="00BB05CC">
        <w:trPr>
          <w:trHeight w:val="572"/>
        </w:trPr>
        <w:tc>
          <w:tcPr>
            <w:cnfStyle w:val="001000000000" w:firstRow="0" w:lastRow="0" w:firstColumn="1" w:lastColumn="0" w:oddVBand="0" w:evenVBand="0" w:oddHBand="0" w:evenHBand="0" w:firstRowFirstColumn="0" w:firstRowLastColumn="0" w:lastRowFirstColumn="0" w:lastRowLastColumn="0"/>
            <w:tcW w:w="4677" w:type="dxa"/>
          </w:tcPr>
          <w:p w14:paraId="1079CA9F" w14:textId="1BD2BFC6" w:rsidR="004D5C4A" w:rsidRPr="009C1BF2" w:rsidRDefault="004D5C4A" w:rsidP="007518D9">
            <w:pPr>
              <w:ind w:left="0"/>
              <w:jc w:val="both"/>
              <w:rPr>
                <w:rFonts w:ascii="Gadugi" w:hAnsi="Gadugi"/>
                <w:b w:val="0"/>
                <w:bCs w:val="0"/>
                <w:sz w:val="20"/>
              </w:rPr>
            </w:pPr>
            <w:r w:rsidRPr="004D5C4A">
              <w:rPr>
                <w:rFonts w:ascii="Gadugi" w:hAnsi="Gadugi"/>
                <w:b w:val="0"/>
                <w:bCs w:val="0"/>
                <w:sz w:val="20"/>
              </w:rPr>
              <w:t>El Gobierno Nacional aplica</w:t>
            </w:r>
            <w:r w:rsidR="004D2495">
              <w:rPr>
                <w:rFonts w:ascii="Gadugi" w:hAnsi="Gadugi"/>
                <w:b w:val="0"/>
                <w:bCs w:val="0"/>
                <w:sz w:val="20"/>
              </w:rPr>
              <w:t>ba</w:t>
            </w:r>
            <w:r w:rsidRPr="004D5C4A">
              <w:rPr>
                <w:rFonts w:ascii="Gadugi" w:hAnsi="Gadugi"/>
                <w:b w:val="0"/>
                <w:bCs w:val="0"/>
                <w:sz w:val="20"/>
              </w:rPr>
              <w:t xml:space="preserve"> el método establecido en la Ley para la definición de costos.</w:t>
            </w:r>
          </w:p>
        </w:tc>
        <w:tc>
          <w:tcPr>
            <w:tcW w:w="5138" w:type="dxa"/>
          </w:tcPr>
          <w:p w14:paraId="2B5EEDE2" w14:textId="77777777" w:rsidR="004D5C4A" w:rsidRPr="009C1BF2" w:rsidRDefault="004D5C4A" w:rsidP="00D775AA">
            <w:pPr>
              <w:ind w:left="0"/>
              <w:jc w:val="both"/>
              <w:cnfStyle w:val="000000000000" w:firstRow="0" w:lastRow="0" w:firstColumn="0" w:lastColumn="0" w:oddVBand="0" w:evenVBand="0" w:oddHBand="0" w:evenHBand="0" w:firstRowFirstColumn="0" w:firstRowLastColumn="0" w:lastRowFirstColumn="0" w:lastRowLastColumn="0"/>
              <w:rPr>
                <w:rFonts w:ascii="Gadugi" w:hAnsi="Gadugi"/>
                <w:sz w:val="20"/>
              </w:rPr>
            </w:pPr>
            <w:r w:rsidRPr="009C1BF2">
              <w:rPr>
                <w:rFonts w:ascii="Gadugi" w:hAnsi="Gadugi"/>
                <w:sz w:val="20"/>
              </w:rPr>
              <w:t>No hay costos, la contribución financia inversión y funcionamiento.</w:t>
            </w:r>
          </w:p>
        </w:tc>
      </w:tr>
      <w:tr w:rsidR="004D5C4A" w:rsidRPr="00C0741B" w14:paraId="51BF4D3F" w14:textId="77777777" w:rsidTr="00BB05CC">
        <w:trPr>
          <w:cnfStyle w:val="000000100000" w:firstRow="0" w:lastRow="0" w:firstColumn="0" w:lastColumn="0" w:oddVBand="0" w:evenVBand="0" w:oddHBand="1" w:evenHBand="0" w:firstRowFirstColumn="0" w:firstRowLastColumn="0" w:lastRowFirstColumn="0" w:lastRowLastColumn="0"/>
          <w:trHeight w:val="1988"/>
        </w:trPr>
        <w:tc>
          <w:tcPr>
            <w:cnfStyle w:val="001000000000" w:firstRow="0" w:lastRow="0" w:firstColumn="1" w:lastColumn="0" w:oddVBand="0" w:evenVBand="0" w:oddHBand="0" w:evenHBand="0" w:firstRowFirstColumn="0" w:firstRowLastColumn="0" w:lastRowFirstColumn="0" w:lastRowLastColumn="0"/>
            <w:tcW w:w="4677" w:type="dxa"/>
          </w:tcPr>
          <w:p w14:paraId="601C5BFD" w14:textId="77777777" w:rsidR="004D5C4A" w:rsidRPr="009C1BF2" w:rsidRDefault="004D5C4A" w:rsidP="007518D9">
            <w:pPr>
              <w:ind w:left="0"/>
              <w:jc w:val="both"/>
              <w:rPr>
                <w:rFonts w:ascii="Gadugi" w:hAnsi="Gadugi"/>
                <w:b w:val="0"/>
                <w:bCs w:val="0"/>
                <w:sz w:val="20"/>
              </w:rPr>
            </w:pPr>
            <w:r w:rsidRPr="009C1BF2">
              <w:rPr>
                <w:rFonts w:ascii="Gadugi" w:hAnsi="Gadugi"/>
                <w:b w:val="0"/>
                <w:bCs w:val="0"/>
                <w:sz w:val="20"/>
              </w:rPr>
              <w:t>Exenciones:</w:t>
            </w:r>
            <w:r w:rsidRPr="004D5C4A">
              <w:rPr>
                <w:rFonts w:ascii="Gadugi" w:hAnsi="Gadugi"/>
                <w:b w:val="0"/>
                <w:bCs w:val="0"/>
                <w:sz w:val="20"/>
              </w:rPr>
              <w:t xml:space="preserve"> beneficencias y loterías.</w:t>
            </w:r>
          </w:p>
        </w:tc>
        <w:tc>
          <w:tcPr>
            <w:tcW w:w="5138" w:type="dxa"/>
          </w:tcPr>
          <w:p w14:paraId="3B01DE70" w14:textId="77777777" w:rsidR="004D5C4A" w:rsidRPr="009C1BF2" w:rsidRDefault="004D5C4A" w:rsidP="00D775AA">
            <w:pPr>
              <w:ind w:left="0"/>
              <w:jc w:val="both"/>
              <w:cnfStyle w:val="000000100000" w:firstRow="0" w:lastRow="0" w:firstColumn="0" w:lastColumn="0" w:oddVBand="0" w:evenVBand="0" w:oddHBand="1" w:evenHBand="0" w:firstRowFirstColumn="0" w:firstRowLastColumn="0" w:lastRowFirstColumn="0" w:lastRowLastColumn="0"/>
              <w:rPr>
                <w:rFonts w:ascii="Gadugi" w:hAnsi="Gadugi"/>
                <w:sz w:val="20"/>
              </w:rPr>
            </w:pPr>
            <w:r w:rsidRPr="009C1BF2">
              <w:rPr>
                <w:rFonts w:ascii="Gadugi" w:hAnsi="Gadugi"/>
                <w:sz w:val="20"/>
              </w:rPr>
              <w:t xml:space="preserve">Exenciones: ADRES e INDUMIL, los </w:t>
            </w:r>
            <w:r>
              <w:rPr>
                <w:rFonts w:ascii="Gadugi" w:hAnsi="Gadugi"/>
                <w:sz w:val="20"/>
              </w:rPr>
              <w:t>prestadores</w:t>
            </w:r>
            <w:r w:rsidRPr="009C1BF2">
              <w:rPr>
                <w:rFonts w:ascii="Gadugi" w:hAnsi="Gadugi"/>
                <w:sz w:val="20"/>
              </w:rPr>
              <w:t xml:space="preserve"> de servicios de salud con objeto social diferente, los profesionales independientes, las EPS e IPS Indígenas, las Empresas Sociales del Estado acreditadas, así como las Instituciones Prestadoras de Servicios de Salud y los Hospitales Universitarios debidamente acreditados.</w:t>
            </w:r>
          </w:p>
        </w:tc>
      </w:tr>
      <w:tr w:rsidR="004D5C4A" w:rsidRPr="00C0741B" w14:paraId="4A9FDB03" w14:textId="77777777" w:rsidTr="004D2495">
        <w:trPr>
          <w:trHeight w:val="679"/>
        </w:trPr>
        <w:tc>
          <w:tcPr>
            <w:cnfStyle w:val="001000000000" w:firstRow="0" w:lastRow="0" w:firstColumn="1" w:lastColumn="0" w:oddVBand="0" w:evenVBand="0" w:oddHBand="0" w:evenHBand="0" w:firstRowFirstColumn="0" w:firstRowLastColumn="0" w:lastRowFirstColumn="0" w:lastRowLastColumn="0"/>
            <w:tcW w:w="4677" w:type="dxa"/>
          </w:tcPr>
          <w:p w14:paraId="33034C92" w14:textId="4BBC8B3A" w:rsidR="004D5C4A" w:rsidRPr="004E7C0E" w:rsidRDefault="004D2495" w:rsidP="007518D9">
            <w:pPr>
              <w:ind w:left="0"/>
              <w:jc w:val="both"/>
              <w:rPr>
                <w:rFonts w:ascii="Gadugi" w:hAnsi="Gadugi"/>
                <w:b w:val="0"/>
                <w:bCs w:val="0"/>
                <w:sz w:val="20"/>
              </w:rPr>
            </w:pPr>
            <w:r>
              <w:rPr>
                <w:rFonts w:ascii="Gadugi" w:hAnsi="Gadugi"/>
                <w:b w:val="0"/>
                <w:bCs w:val="0"/>
                <w:sz w:val="20"/>
              </w:rPr>
              <w:t>Era anula</w:t>
            </w:r>
            <w:r w:rsidR="004D5C4A" w:rsidRPr="004E7C0E">
              <w:rPr>
                <w:rFonts w:ascii="Gadugi" w:hAnsi="Gadugi"/>
                <w:b w:val="0"/>
                <w:bCs w:val="0"/>
                <w:sz w:val="20"/>
              </w:rPr>
              <w:t xml:space="preserve">, pero no especifica rango de tiempo. </w:t>
            </w:r>
          </w:p>
        </w:tc>
        <w:tc>
          <w:tcPr>
            <w:tcW w:w="5138" w:type="dxa"/>
          </w:tcPr>
          <w:p w14:paraId="209D38FC" w14:textId="7E20E17B" w:rsidR="004D5C4A" w:rsidRPr="009C1BF2" w:rsidRDefault="004D5C4A" w:rsidP="00D775AA">
            <w:pPr>
              <w:ind w:left="0"/>
              <w:jc w:val="both"/>
              <w:cnfStyle w:val="000000000000" w:firstRow="0" w:lastRow="0" w:firstColumn="0" w:lastColumn="0" w:oddVBand="0" w:evenVBand="0" w:oddHBand="0" w:evenHBand="0" w:firstRowFirstColumn="0" w:firstRowLastColumn="0" w:lastRowFirstColumn="0" w:lastRowLastColumn="0"/>
              <w:rPr>
                <w:rFonts w:ascii="Gadugi" w:hAnsi="Gadugi"/>
                <w:sz w:val="20"/>
              </w:rPr>
            </w:pPr>
            <w:r w:rsidRPr="009C1BF2">
              <w:rPr>
                <w:rFonts w:ascii="Gadugi" w:hAnsi="Gadugi"/>
                <w:sz w:val="20"/>
              </w:rPr>
              <w:t>La contribución impuesta se causará el primer día calendario de enero</w:t>
            </w:r>
            <w:r w:rsidR="004D2495">
              <w:rPr>
                <w:rFonts w:ascii="Gadugi" w:hAnsi="Gadugi"/>
                <w:sz w:val="20"/>
              </w:rPr>
              <w:t xml:space="preserve"> de cada vigencia</w:t>
            </w:r>
            <w:r w:rsidRPr="009C1BF2">
              <w:rPr>
                <w:rFonts w:ascii="Gadugi" w:hAnsi="Gadugi"/>
                <w:sz w:val="20"/>
              </w:rPr>
              <w:t xml:space="preserve">. </w:t>
            </w:r>
          </w:p>
        </w:tc>
      </w:tr>
    </w:tbl>
    <w:p w14:paraId="7660EDCA" w14:textId="77777777" w:rsidR="0010021D" w:rsidRPr="0010021D" w:rsidRDefault="0010021D" w:rsidP="0010021D">
      <w:pPr>
        <w:pStyle w:val="Ttulo2"/>
        <w:ind w:left="927"/>
        <w:jc w:val="both"/>
        <w:rPr>
          <w:rFonts w:ascii="Gadugi" w:hAnsi="Gadugi"/>
          <w:sz w:val="28"/>
          <w:szCs w:val="28"/>
          <w:lang w:val="es-MX"/>
        </w:rPr>
      </w:pPr>
    </w:p>
    <w:p w14:paraId="3182C220" w14:textId="77777777" w:rsidR="003A5388" w:rsidRDefault="003A5388" w:rsidP="00F37E5A">
      <w:pPr>
        <w:pStyle w:val="Ttulo2"/>
        <w:ind w:left="360"/>
        <w:jc w:val="both"/>
        <w:rPr>
          <w:rFonts w:ascii="Gadugi" w:hAnsi="Gadugi"/>
          <w:b/>
          <w:bCs/>
          <w:sz w:val="22"/>
          <w:szCs w:val="22"/>
        </w:rPr>
        <w:sectPr w:rsidR="003A5388" w:rsidSect="009C1BF2">
          <w:type w:val="continuous"/>
          <w:pgSz w:w="12240" w:h="15840" w:code="1"/>
          <w:pgMar w:top="720" w:right="720" w:bottom="720" w:left="720" w:header="720" w:footer="720" w:gutter="0"/>
          <w:cols w:space="28"/>
          <w:docGrid w:linePitch="360"/>
        </w:sectPr>
      </w:pPr>
    </w:p>
    <w:p w14:paraId="6EC27FE7" w14:textId="36B1C684" w:rsidR="00FC1DD7" w:rsidRPr="00FC1DD7" w:rsidRDefault="00FC1DD7" w:rsidP="00FC1DD7">
      <w:pPr>
        <w:pStyle w:val="Ttulo2"/>
        <w:ind w:left="0"/>
        <w:jc w:val="center"/>
        <w:rPr>
          <w:rFonts w:ascii="Gadugi" w:hAnsi="Gadugi"/>
          <w:sz w:val="22"/>
          <w:szCs w:val="22"/>
          <w:lang w:val="es-MX"/>
        </w:rPr>
      </w:pPr>
      <w:r>
        <w:rPr>
          <w:rFonts w:ascii="Gadugi" w:hAnsi="Gadugi"/>
          <w:noProof/>
          <w:sz w:val="22"/>
          <w:szCs w:val="22"/>
        </w:rPr>
        <w:drawing>
          <wp:inline distT="0" distB="0" distL="0" distR="0" wp14:anchorId="5D198AB2" wp14:editId="0ECE5F3D">
            <wp:extent cx="2711394" cy="948400"/>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3032536" cy="1060730"/>
                    </a:xfrm>
                    <a:prstGeom prst="rect">
                      <a:avLst/>
                    </a:prstGeom>
                  </pic:spPr>
                </pic:pic>
              </a:graphicData>
            </a:graphic>
          </wp:inline>
        </w:drawing>
      </w:r>
    </w:p>
    <w:p w14:paraId="22818CA3" w14:textId="41CCF43C" w:rsidR="00F87557" w:rsidRPr="00D775AA" w:rsidRDefault="00F87557" w:rsidP="00F87557">
      <w:pPr>
        <w:pStyle w:val="Ttulo2"/>
        <w:numPr>
          <w:ilvl w:val="0"/>
          <w:numId w:val="3"/>
        </w:numPr>
        <w:jc w:val="both"/>
        <w:rPr>
          <w:rFonts w:ascii="Gadugi" w:hAnsi="Gadugi"/>
          <w:sz w:val="22"/>
          <w:szCs w:val="22"/>
          <w:lang w:val="es-MX"/>
        </w:rPr>
      </w:pPr>
      <w:r w:rsidRPr="00D775AA">
        <w:rPr>
          <w:rFonts w:ascii="Gadugi" w:hAnsi="Gadugi"/>
          <w:b/>
          <w:bCs/>
          <w:sz w:val="22"/>
          <w:szCs w:val="22"/>
        </w:rPr>
        <w:t>¿Cuál es el procedimiento para definir lo que debe pagar cada vigilado?</w:t>
      </w:r>
    </w:p>
    <w:p w14:paraId="1C496F9F" w14:textId="341367DB" w:rsidR="00F37E5A" w:rsidRDefault="00F87557" w:rsidP="00D775AA">
      <w:pPr>
        <w:ind w:left="0"/>
        <w:jc w:val="both"/>
        <w:rPr>
          <w:rFonts w:ascii="Gadugi" w:hAnsi="Gadugi"/>
          <w:sz w:val="22"/>
          <w:szCs w:val="22"/>
          <w:lang w:val="es-MX"/>
        </w:rPr>
      </w:pPr>
      <w:r w:rsidRPr="00D775AA">
        <w:rPr>
          <w:rFonts w:ascii="Gadugi" w:hAnsi="Gadugi"/>
          <w:sz w:val="22"/>
          <w:szCs w:val="22"/>
          <w:lang w:val="es-MX"/>
        </w:rPr>
        <w:t xml:space="preserve">El procedimiento se encuentra regulado en el artículo 76 de la Ley 1955 de 2019: a los ingresos operacionales del sector causados a 31 de diciembre del año inmediatamente anterior a la vigencia que se genere, se aplicará la tarifa que, mediante resolución, establecerá anualmente la entidad, la cual no podrá ser superior al cero </w:t>
      </w:r>
      <w:r w:rsidR="003A5388" w:rsidRPr="00D775AA">
        <w:rPr>
          <w:rFonts w:ascii="Gadugi" w:hAnsi="Gadugi"/>
          <w:sz w:val="22"/>
          <w:szCs w:val="22"/>
          <w:lang w:val="es-MX"/>
        </w:rPr>
        <w:t>coma dos por ciento (0,2 %) de dichos ingresos.</w:t>
      </w:r>
    </w:p>
    <w:p w14:paraId="581C6EAD" w14:textId="2097C079" w:rsidR="00F37E5A" w:rsidRDefault="00FC1DD7" w:rsidP="00D775AA">
      <w:pPr>
        <w:ind w:left="0"/>
        <w:jc w:val="both"/>
        <w:rPr>
          <w:rFonts w:ascii="Gadugi" w:hAnsi="Gadugi"/>
          <w:sz w:val="22"/>
          <w:szCs w:val="22"/>
          <w:lang w:val="es-MX"/>
        </w:rPr>
      </w:pPr>
      <w:r w:rsidRPr="00FC1DD7">
        <w:rPr>
          <w:rFonts w:ascii="Gadugi" w:hAnsi="Gadugi"/>
          <w:noProof/>
          <w:sz w:val="22"/>
          <w:szCs w:val="22"/>
          <w:lang w:val="es-MX"/>
        </w:rPr>
        <w:drawing>
          <wp:inline distT="0" distB="0" distL="0" distR="0" wp14:anchorId="78BF9A73" wp14:editId="532B045D">
            <wp:extent cx="2782956" cy="34017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54547" cy="373376"/>
                    </a:xfrm>
                    <a:prstGeom prst="rect">
                      <a:avLst/>
                    </a:prstGeom>
                  </pic:spPr>
                </pic:pic>
              </a:graphicData>
            </a:graphic>
          </wp:inline>
        </w:drawing>
      </w:r>
    </w:p>
    <w:p w14:paraId="4ABA4BF6" w14:textId="075D5AA1" w:rsidR="003A5388" w:rsidRPr="00D775AA" w:rsidRDefault="003A5388" w:rsidP="00F37E5A">
      <w:pPr>
        <w:pStyle w:val="Ttulo2"/>
        <w:numPr>
          <w:ilvl w:val="0"/>
          <w:numId w:val="3"/>
        </w:numPr>
        <w:jc w:val="both"/>
        <w:rPr>
          <w:rFonts w:ascii="Gadugi" w:hAnsi="Gadugi"/>
          <w:b/>
          <w:bCs/>
          <w:sz w:val="22"/>
          <w:szCs w:val="22"/>
        </w:rPr>
      </w:pPr>
      <w:r w:rsidRPr="00F37E5A">
        <w:rPr>
          <w:rFonts w:ascii="Gadugi" w:hAnsi="Gadugi"/>
          <w:b/>
          <w:bCs/>
          <w:sz w:val="22"/>
          <w:szCs w:val="22"/>
        </w:rPr>
        <w:t xml:space="preserve"> </w:t>
      </w:r>
      <w:r w:rsidRPr="00D775AA">
        <w:rPr>
          <w:rFonts w:ascii="Gadugi" w:hAnsi="Gadugi"/>
          <w:b/>
          <w:bCs/>
          <w:sz w:val="22"/>
          <w:szCs w:val="22"/>
        </w:rPr>
        <w:t>¿Cuándo y cómo se debe pagar la contribución?</w:t>
      </w:r>
    </w:p>
    <w:p w14:paraId="1A6D2476" w14:textId="307C3BCE" w:rsidR="00F37E5A" w:rsidRDefault="003A5388" w:rsidP="00F37E5A">
      <w:pPr>
        <w:ind w:left="0"/>
        <w:jc w:val="both"/>
        <w:rPr>
          <w:rFonts w:ascii="Gadugi" w:hAnsi="Gadugi"/>
          <w:sz w:val="22"/>
          <w:szCs w:val="22"/>
        </w:rPr>
      </w:pPr>
      <w:r w:rsidRPr="00D775AA">
        <w:rPr>
          <w:rFonts w:ascii="Gadugi" w:hAnsi="Gadugi"/>
          <w:sz w:val="22"/>
          <w:szCs w:val="22"/>
        </w:rPr>
        <w:t xml:space="preserve">La contribución en cada vigencia se rige por </w:t>
      </w:r>
      <w:r w:rsidRPr="00D775AA">
        <w:rPr>
          <w:rFonts w:ascii="Gadugi" w:hAnsi="Gadugi"/>
          <w:b/>
          <w:bCs/>
          <w:sz w:val="22"/>
          <w:szCs w:val="22"/>
          <w:u w:val="single"/>
        </w:rPr>
        <w:t>una única resolución para todos los vigilados</w:t>
      </w:r>
      <w:r w:rsidRPr="00D775AA">
        <w:rPr>
          <w:rFonts w:ascii="Gadugi" w:hAnsi="Gadugi"/>
          <w:sz w:val="22"/>
          <w:szCs w:val="22"/>
        </w:rPr>
        <w:t xml:space="preserve"> en la cual se fijan las tarifas, las fechas y los lugares para el pago</w:t>
      </w:r>
      <w:r w:rsidR="00FC1DD7">
        <w:rPr>
          <w:rFonts w:ascii="Gadugi" w:hAnsi="Gadugi"/>
          <w:sz w:val="22"/>
          <w:szCs w:val="22"/>
        </w:rPr>
        <w:t xml:space="preserve">, que </w:t>
      </w:r>
      <w:r w:rsidRPr="00D775AA">
        <w:rPr>
          <w:rFonts w:ascii="Gadugi" w:hAnsi="Gadugi"/>
          <w:sz w:val="22"/>
          <w:szCs w:val="22"/>
        </w:rPr>
        <w:t xml:space="preserve">es publicada en la página de la SNS y el Diario </w:t>
      </w:r>
      <w:r w:rsidR="00FC1DD7">
        <w:rPr>
          <w:rFonts w:ascii="Gadugi" w:hAnsi="Gadugi"/>
          <w:sz w:val="22"/>
          <w:szCs w:val="22"/>
        </w:rPr>
        <w:t>O</w:t>
      </w:r>
      <w:r w:rsidRPr="00D775AA">
        <w:rPr>
          <w:rFonts w:ascii="Gadugi" w:hAnsi="Gadugi"/>
          <w:sz w:val="22"/>
          <w:szCs w:val="22"/>
        </w:rPr>
        <w:t>ficial.</w:t>
      </w:r>
    </w:p>
    <w:p w14:paraId="5A929ADD" w14:textId="77777777" w:rsidR="00FC1DD7" w:rsidRDefault="003A5388" w:rsidP="00F37E5A">
      <w:pPr>
        <w:ind w:left="0"/>
        <w:jc w:val="both"/>
        <w:rPr>
          <w:rFonts w:ascii="Gadugi" w:hAnsi="Gadugi"/>
          <w:sz w:val="22"/>
          <w:szCs w:val="22"/>
        </w:rPr>
      </w:pPr>
      <w:r w:rsidRPr="00D775AA">
        <w:rPr>
          <w:rFonts w:ascii="Gadugi" w:hAnsi="Gadugi"/>
          <w:sz w:val="22"/>
          <w:szCs w:val="22"/>
        </w:rPr>
        <w:t xml:space="preserve">Una vez establecida la fecha para el pago oportuno en la resolución, podrán ingresar al aplicativo Génesis: </w:t>
      </w:r>
      <w:hyperlink r:id="rId18" w:history="1">
        <w:r w:rsidRPr="00D775AA">
          <w:rPr>
            <w:rStyle w:val="Hipervnculo"/>
            <w:rFonts w:ascii="Gadugi" w:hAnsi="Gadugi"/>
            <w:sz w:val="22"/>
            <w:szCs w:val="22"/>
          </w:rPr>
          <w:t>https://genesis.supersalud.gov.co</w:t>
        </w:r>
      </w:hyperlink>
      <w:r w:rsidRPr="001D0620">
        <w:rPr>
          <w:rStyle w:val="Hipervnculo"/>
          <w:sz w:val="22"/>
          <w:szCs w:val="22"/>
          <w:u w:val="none"/>
        </w:rPr>
        <w:t xml:space="preserve"> </w:t>
      </w:r>
      <w:r w:rsidRPr="00D775AA">
        <w:rPr>
          <w:rFonts w:ascii="Gadugi" w:hAnsi="Gadugi"/>
          <w:sz w:val="22"/>
          <w:szCs w:val="22"/>
        </w:rPr>
        <w:t xml:space="preserve">Módulo Contribución y encontrar los recibos que contendrán la obligación para cancelar en una sola cuota por PSE o descargarlos para pago en bancos (Bancolombia). </w:t>
      </w:r>
    </w:p>
    <w:p w14:paraId="7089D544" w14:textId="2B99AEA0" w:rsidR="00FC1DD7" w:rsidRDefault="003A5388" w:rsidP="00F37E5A">
      <w:pPr>
        <w:ind w:left="0"/>
        <w:jc w:val="both"/>
        <w:rPr>
          <w:rFonts w:ascii="Gadugi" w:hAnsi="Gadugi"/>
          <w:sz w:val="22"/>
          <w:szCs w:val="22"/>
        </w:rPr>
      </w:pPr>
      <w:r w:rsidRPr="00D775AA">
        <w:rPr>
          <w:rFonts w:ascii="Gadugi" w:hAnsi="Gadugi"/>
          <w:sz w:val="22"/>
          <w:szCs w:val="22"/>
        </w:rPr>
        <w:t>En la modalidad de recibo físico para pago en bancos, este será útil únicamente para el día en el que se descargó de la plataforma.</w:t>
      </w:r>
      <w:r w:rsidR="00FC1DD7" w:rsidRPr="00FC1DD7">
        <w:rPr>
          <w:rFonts w:ascii="Gadugi" w:hAnsi="Gadugi"/>
          <w:noProof/>
          <w:sz w:val="22"/>
          <w:szCs w:val="22"/>
        </w:rPr>
        <w:t xml:space="preserve"> </w:t>
      </w:r>
    </w:p>
    <w:p w14:paraId="65CE3E6E" w14:textId="77777777" w:rsidR="00FC1DD7" w:rsidRDefault="00FC1DD7" w:rsidP="00FC1DD7">
      <w:pPr>
        <w:pStyle w:val="Ttulo2"/>
        <w:numPr>
          <w:ilvl w:val="0"/>
          <w:numId w:val="3"/>
        </w:numPr>
        <w:jc w:val="both"/>
        <w:rPr>
          <w:rFonts w:ascii="Gadugi" w:hAnsi="Gadugi"/>
          <w:b/>
          <w:bCs/>
          <w:sz w:val="22"/>
          <w:szCs w:val="22"/>
        </w:rPr>
      </w:pPr>
      <w:r w:rsidRPr="00D775AA">
        <w:rPr>
          <w:rFonts w:ascii="Gadugi" w:hAnsi="Gadugi"/>
          <w:b/>
          <w:bCs/>
          <w:sz w:val="22"/>
          <w:szCs w:val="22"/>
        </w:rPr>
        <w:t>¿Cómo me registro en G</w:t>
      </w:r>
      <w:r>
        <w:rPr>
          <w:rFonts w:ascii="Gadugi" w:hAnsi="Gadugi"/>
          <w:b/>
          <w:bCs/>
          <w:sz w:val="22"/>
          <w:szCs w:val="22"/>
        </w:rPr>
        <w:t>énesis</w:t>
      </w:r>
      <w:r w:rsidRPr="00D775AA">
        <w:rPr>
          <w:rFonts w:ascii="Gadugi" w:hAnsi="Gadugi"/>
          <w:b/>
          <w:bCs/>
          <w:sz w:val="22"/>
          <w:szCs w:val="22"/>
        </w:rPr>
        <w:t>?</w:t>
      </w:r>
    </w:p>
    <w:p w14:paraId="343DEA7D" w14:textId="77777777" w:rsidR="00FC1DD7" w:rsidRDefault="00FC1DD7" w:rsidP="00FC1DD7">
      <w:pPr>
        <w:pStyle w:val="Ttulo2"/>
        <w:ind w:left="0"/>
        <w:jc w:val="both"/>
        <w:rPr>
          <w:rFonts w:ascii="Gadugi" w:hAnsi="Gadugi"/>
          <w:sz w:val="22"/>
          <w:szCs w:val="22"/>
        </w:rPr>
      </w:pPr>
      <w:r w:rsidRPr="00D775AA">
        <w:rPr>
          <w:rFonts w:ascii="Gadugi" w:eastAsiaTheme="minorHAnsi" w:hAnsi="Gadugi" w:cstheme="minorBidi"/>
          <w:color w:val="595959" w:themeColor="text1" w:themeTint="A6"/>
          <w:sz w:val="22"/>
          <w:szCs w:val="22"/>
        </w:rPr>
        <w:t xml:space="preserve">En el siguiente enlace podrá encontrar el manual de acceso </w:t>
      </w:r>
      <w:r>
        <w:rPr>
          <w:rFonts w:ascii="Gadugi" w:eastAsiaTheme="minorHAnsi" w:hAnsi="Gadugi" w:cstheme="minorBidi"/>
          <w:color w:val="595959" w:themeColor="text1" w:themeTint="A6"/>
          <w:sz w:val="22"/>
          <w:szCs w:val="22"/>
        </w:rPr>
        <w:t xml:space="preserve">a Génesis </w:t>
      </w:r>
      <w:r w:rsidRPr="00D775AA">
        <w:rPr>
          <w:rFonts w:ascii="Gadugi" w:eastAsiaTheme="minorHAnsi" w:hAnsi="Gadugi" w:cstheme="minorBidi"/>
          <w:color w:val="595959" w:themeColor="text1" w:themeTint="A6"/>
          <w:sz w:val="22"/>
          <w:szCs w:val="22"/>
        </w:rPr>
        <w:t xml:space="preserve">y consultar cómo registrarse </w:t>
      </w:r>
      <w:r>
        <w:rPr>
          <w:rFonts w:ascii="Gadugi" w:eastAsiaTheme="minorHAnsi" w:hAnsi="Gadugi" w:cstheme="minorBidi"/>
          <w:color w:val="595959" w:themeColor="text1" w:themeTint="A6"/>
          <w:sz w:val="22"/>
          <w:szCs w:val="22"/>
        </w:rPr>
        <w:t xml:space="preserve">y realizar el </w:t>
      </w:r>
      <w:r w:rsidRPr="00D775AA">
        <w:rPr>
          <w:rFonts w:ascii="Gadugi" w:eastAsiaTheme="minorHAnsi" w:hAnsi="Gadugi" w:cstheme="minorBidi"/>
          <w:color w:val="595959" w:themeColor="text1" w:themeTint="A6"/>
          <w:sz w:val="22"/>
          <w:szCs w:val="22"/>
        </w:rPr>
        <w:t>paso a paso:</w:t>
      </w:r>
      <w:r w:rsidRPr="00D775AA">
        <w:rPr>
          <w:rFonts w:ascii="Gadugi" w:hAnsi="Gadugi"/>
          <w:sz w:val="22"/>
          <w:szCs w:val="22"/>
        </w:rPr>
        <w:t xml:space="preserve"> </w:t>
      </w:r>
    </w:p>
    <w:p w14:paraId="028F8FEA" w14:textId="3C6C1F29" w:rsidR="00B00088" w:rsidRPr="00D775AA" w:rsidRDefault="00F136C7" w:rsidP="00D775AA">
      <w:pPr>
        <w:pStyle w:val="Ttulo2"/>
        <w:ind w:left="0"/>
        <w:jc w:val="both"/>
        <w:rPr>
          <w:rFonts w:ascii="Gadugi" w:hAnsi="Gadugi"/>
          <w:b/>
          <w:bCs/>
          <w:sz w:val="22"/>
          <w:szCs w:val="22"/>
        </w:rPr>
      </w:pPr>
      <w:hyperlink r:id="rId19" w:history="1">
        <w:r w:rsidR="001D0620" w:rsidRPr="00590CCF">
          <w:rPr>
            <w:rStyle w:val="Hipervnculo"/>
            <w:sz w:val="22"/>
            <w:szCs w:val="22"/>
          </w:rPr>
          <w:t>https://docs.supersalud.gov.co/PortalWeb/OTI/Otros%20Documentos%20OTI/MANUAL%20DEL%20USUARIO%20EXTERNO%20REGISTRO%20(VIGILADO)%2C%20INGRESO%20Y%20REPORTE%20A%20LA%20PLATAFORMA%20G%C3%89NESIS%20final.pdf</w:t>
        </w:r>
      </w:hyperlink>
    </w:p>
    <w:p w14:paraId="513C7CBD" w14:textId="450D02D0" w:rsidR="00B00088" w:rsidRDefault="00B00088" w:rsidP="003A5388">
      <w:pPr>
        <w:spacing w:after="0"/>
        <w:ind w:left="0"/>
        <w:jc w:val="both"/>
        <w:rPr>
          <w:sz w:val="22"/>
          <w:szCs w:val="22"/>
        </w:rPr>
      </w:pPr>
    </w:p>
    <w:p w14:paraId="4A7135B2" w14:textId="77777777" w:rsidR="00FC1DD7" w:rsidRDefault="003A5388" w:rsidP="00FC1DD7">
      <w:pPr>
        <w:pStyle w:val="Ttulo2"/>
        <w:numPr>
          <w:ilvl w:val="0"/>
          <w:numId w:val="3"/>
        </w:numPr>
        <w:jc w:val="both"/>
        <w:rPr>
          <w:rFonts w:ascii="Gadugi" w:hAnsi="Gadugi"/>
          <w:b/>
          <w:bCs/>
          <w:sz w:val="22"/>
          <w:szCs w:val="22"/>
        </w:rPr>
      </w:pPr>
      <w:r w:rsidRPr="00D775AA">
        <w:rPr>
          <w:rFonts w:ascii="Gadugi" w:hAnsi="Gadugi"/>
          <w:b/>
          <w:bCs/>
          <w:sz w:val="22"/>
          <w:szCs w:val="22"/>
        </w:rPr>
        <w:t>¿Me pueden cobrar una tasa después del 2019?</w:t>
      </w:r>
    </w:p>
    <w:p w14:paraId="036453B3" w14:textId="04F7DFAB" w:rsidR="001D0620" w:rsidRPr="00FC1DD7" w:rsidRDefault="003A5388" w:rsidP="00FC1DD7">
      <w:pPr>
        <w:pStyle w:val="Ttulo2"/>
        <w:ind w:left="0"/>
        <w:jc w:val="both"/>
        <w:rPr>
          <w:rFonts w:ascii="Gadugi" w:hAnsi="Gadugi"/>
          <w:b/>
          <w:bCs/>
          <w:sz w:val="22"/>
          <w:szCs w:val="22"/>
        </w:rPr>
      </w:pPr>
      <w:r w:rsidRPr="00FC1DD7">
        <w:rPr>
          <w:rFonts w:ascii="Gadugi" w:eastAsiaTheme="minorHAnsi" w:hAnsi="Gadugi" w:cstheme="minorBidi"/>
          <w:color w:val="595959" w:themeColor="text1" w:themeTint="A6"/>
          <w:sz w:val="22"/>
          <w:szCs w:val="22"/>
          <w:lang w:val="es-MX"/>
        </w:rPr>
        <w:t>Sí, las obligaciones de tasa constituidas y no pagadas serán objeto de cobro. Adicionalmente, Las tasas correspondientes a vigencias anteriores a 20</w:t>
      </w:r>
      <w:r w:rsidR="004D2495">
        <w:rPr>
          <w:rFonts w:ascii="Gadugi" w:eastAsiaTheme="minorHAnsi" w:hAnsi="Gadugi" w:cstheme="minorBidi"/>
          <w:color w:val="595959" w:themeColor="text1" w:themeTint="A6"/>
          <w:sz w:val="22"/>
          <w:szCs w:val="22"/>
          <w:lang w:val="es-MX"/>
        </w:rPr>
        <w:t>20</w:t>
      </w:r>
      <w:r w:rsidRPr="00FC1DD7">
        <w:rPr>
          <w:rFonts w:ascii="Gadugi" w:eastAsiaTheme="minorHAnsi" w:hAnsi="Gadugi" w:cstheme="minorBidi"/>
          <w:color w:val="595959" w:themeColor="text1" w:themeTint="A6"/>
          <w:sz w:val="22"/>
          <w:szCs w:val="22"/>
          <w:lang w:val="es-MX"/>
        </w:rPr>
        <w:t xml:space="preserve">, que no hayan sido generadas en su respectiva vigencia, pueden liquidarse en el año 2020 o posteriores, bajo el trámite de </w:t>
      </w:r>
      <w:r w:rsidR="00472AC8">
        <w:rPr>
          <w:rFonts w:ascii="Gadugi" w:eastAsiaTheme="minorHAnsi" w:hAnsi="Gadugi" w:cstheme="minorBidi"/>
          <w:color w:val="595959" w:themeColor="text1" w:themeTint="A6"/>
          <w:sz w:val="22"/>
          <w:szCs w:val="22"/>
          <w:lang w:val="es-MX"/>
        </w:rPr>
        <w:t>l</w:t>
      </w:r>
      <w:r w:rsidRPr="00FC1DD7">
        <w:rPr>
          <w:rFonts w:ascii="Gadugi" w:eastAsiaTheme="minorHAnsi" w:hAnsi="Gadugi" w:cstheme="minorBidi"/>
          <w:color w:val="595959" w:themeColor="text1" w:themeTint="A6"/>
          <w:sz w:val="22"/>
          <w:szCs w:val="22"/>
          <w:lang w:val="es-MX"/>
        </w:rPr>
        <w:t xml:space="preserve">iquidación adicional de la tasa anual de supervisión y control de la </w:t>
      </w:r>
      <w:r w:rsidR="00472AC8">
        <w:rPr>
          <w:rFonts w:ascii="Gadugi" w:eastAsiaTheme="minorHAnsi" w:hAnsi="Gadugi" w:cstheme="minorBidi"/>
          <w:color w:val="595959" w:themeColor="text1" w:themeTint="A6"/>
          <w:sz w:val="22"/>
          <w:szCs w:val="22"/>
          <w:lang w:val="es-MX"/>
        </w:rPr>
        <w:t>Supersalud,</w:t>
      </w:r>
      <w:r w:rsidR="00B00088" w:rsidRPr="00FC1DD7">
        <w:rPr>
          <w:rFonts w:ascii="Gadugi" w:eastAsiaTheme="minorHAnsi" w:hAnsi="Gadugi" w:cstheme="minorBidi"/>
          <w:color w:val="595959" w:themeColor="text1" w:themeTint="A6"/>
          <w:sz w:val="22"/>
          <w:szCs w:val="22"/>
          <w:lang w:val="es-MX"/>
        </w:rPr>
        <w:t xml:space="preserve"> si desea información adicional ingrese a:</w:t>
      </w:r>
    </w:p>
    <w:p w14:paraId="269603E9" w14:textId="77777777" w:rsidR="00F37E5A" w:rsidRPr="00F37E5A" w:rsidRDefault="00F37E5A" w:rsidP="00F37E5A">
      <w:pPr>
        <w:rPr>
          <w:sz w:val="2"/>
          <w:szCs w:val="2"/>
          <w:lang w:val="es-MX"/>
        </w:rPr>
      </w:pPr>
    </w:p>
    <w:p w14:paraId="5CE02A36" w14:textId="77777777" w:rsidR="00F37E5A" w:rsidRPr="00F37E5A" w:rsidRDefault="00F136C7" w:rsidP="00F37E5A">
      <w:pPr>
        <w:pStyle w:val="Prrafodelista"/>
        <w:numPr>
          <w:ilvl w:val="0"/>
          <w:numId w:val="8"/>
        </w:numPr>
        <w:ind w:right="567"/>
        <w:jc w:val="both"/>
        <w:rPr>
          <w:lang w:val="es-MX"/>
        </w:rPr>
      </w:pPr>
      <w:hyperlink r:id="rId20" w:history="1">
        <w:r w:rsidR="00F37E5A" w:rsidRPr="00590CCF">
          <w:rPr>
            <w:rStyle w:val="Hipervnculo"/>
          </w:rPr>
          <w:t>http://visor.suit.gov.co/VisorSUIT/index.jsf?FI=237</w:t>
        </w:r>
      </w:hyperlink>
    </w:p>
    <w:p w14:paraId="0BB64055" w14:textId="77777777" w:rsidR="00FC1DD7" w:rsidRDefault="00F136C7" w:rsidP="00FC1DD7">
      <w:pPr>
        <w:pStyle w:val="Prrafodelista"/>
        <w:numPr>
          <w:ilvl w:val="0"/>
          <w:numId w:val="8"/>
        </w:numPr>
        <w:ind w:right="567"/>
        <w:jc w:val="both"/>
        <w:rPr>
          <w:rStyle w:val="Hipervnculo"/>
          <w:rFonts w:ascii="Gadugi" w:hAnsi="Gadugi"/>
          <w:sz w:val="22"/>
        </w:rPr>
      </w:pPr>
      <w:hyperlink r:id="rId21" w:history="1">
        <w:r w:rsidR="00F37E5A" w:rsidRPr="00F37E5A">
          <w:rPr>
            <w:rStyle w:val="Hipervnculo"/>
            <w:rFonts w:ascii="Gadugi" w:hAnsi="Gadugi"/>
            <w:sz w:val="22"/>
          </w:rPr>
          <w:t>https://www.supersalud.gov.co/es-co/atencion-ciudadano/tramites-y-servicios/tramites</w:t>
        </w:r>
      </w:hyperlink>
    </w:p>
    <w:p w14:paraId="7765D148" w14:textId="6F5D12E5" w:rsidR="00D775AA" w:rsidRPr="00FC1DD7" w:rsidRDefault="00402D30" w:rsidP="00FC1DD7">
      <w:pPr>
        <w:ind w:left="142" w:right="567"/>
        <w:jc w:val="both"/>
        <w:rPr>
          <w:rFonts w:ascii="Gadugi" w:hAnsi="Gadugi" w:cs="Arial"/>
          <w:b/>
          <w:bCs/>
          <w:color w:val="009DD9" w:themeColor="accent2"/>
          <w:kern w:val="0"/>
          <w:szCs w:val="24"/>
          <w:lang w:val="es-CO" w:eastAsia="en-US"/>
        </w:rPr>
        <w:sectPr w:rsidR="00D775AA" w:rsidRPr="00FC1DD7" w:rsidSect="003A5388">
          <w:type w:val="continuous"/>
          <w:pgSz w:w="12240" w:h="15840" w:code="1"/>
          <w:pgMar w:top="720" w:right="720" w:bottom="720" w:left="720" w:header="720" w:footer="720" w:gutter="0"/>
          <w:cols w:num="2" w:space="720"/>
          <w:docGrid w:linePitch="360"/>
        </w:sectPr>
      </w:pPr>
      <w:r w:rsidRPr="00FC1DD7">
        <w:rPr>
          <w:rFonts w:ascii="Gadugi" w:hAnsi="Gadugi" w:cs="Arial"/>
          <w:b/>
          <w:bCs/>
          <w:color w:val="009DD9" w:themeColor="accent2"/>
          <w:kern w:val="0"/>
          <w:szCs w:val="24"/>
          <w:lang w:val="es-CO" w:eastAsia="en-US"/>
        </w:rPr>
        <w:t>Apreciado v</w:t>
      </w:r>
      <w:r w:rsidR="00B00088" w:rsidRPr="00FC1DD7">
        <w:rPr>
          <w:rFonts w:ascii="Gadugi" w:hAnsi="Gadugi" w:cs="Arial"/>
          <w:b/>
          <w:bCs/>
          <w:color w:val="009DD9" w:themeColor="accent2"/>
          <w:kern w:val="0"/>
          <w:szCs w:val="24"/>
          <w:lang w:val="es-CO" w:eastAsia="en-US"/>
        </w:rPr>
        <w:t>igilado</w:t>
      </w:r>
      <w:r w:rsidR="00FC1DD7">
        <w:rPr>
          <w:rFonts w:ascii="Gadugi" w:hAnsi="Gadugi" w:cs="Arial"/>
          <w:b/>
          <w:bCs/>
          <w:color w:val="009DD9" w:themeColor="accent2"/>
          <w:kern w:val="0"/>
          <w:szCs w:val="24"/>
          <w:lang w:val="es-CO" w:eastAsia="en-US"/>
        </w:rPr>
        <w:t>,</w:t>
      </w:r>
      <w:r w:rsidR="00B00088" w:rsidRPr="00FC1DD7">
        <w:rPr>
          <w:rFonts w:ascii="Gadugi" w:hAnsi="Gadugi" w:cs="Arial"/>
          <w:b/>
          <w:bCs/>
          <w:color w:val="009DD9" w:themeColor="accent2"/>
          <w:kern w:val="0"/>
          <w:szCs w:val="24"/>
          <w:lang w:val="es-CO" w:eastAsia="en-US"/>
        </w:rPr>
        <w:t xml:space="preserve"> </w:t>
      </w:r>
      <w:r w:rsidR="00D775AA" w:rsidRPr="00FC1DD7">
        <w:rPr>
          <w:rFonts w:ascii="Gadugi" w:hAnsi="Gadugi" w:cs="Arial"/>
          <w:b/>
          <w:bCs/>
          <w:color w:val="009DD9" w:themeColor="accent2"/>
          <w:kern w:val="0"/>
          <w:szCs w:val="24"/>
          <w:lang w:val="es-CO" w:eastAsia="en-US"/>
        </w:rPr>
        <w:t xml:space="preserve">recuerde que </w:t>
      </w:r>
      <w:r w:rsidR="00B00088" w:rsidRPr="00FC1DD7">
        <w:rPr>
          <w:rFonts w:ascii="Gadugi" w:hAnsi="Gadugi" w:cs="Arial"/>
          <w:b/>
          <w:bCs/>
          <w:color w:val="009DD9" w:themeColor="accent2"/>
          <w:kern w:val="0"/>
          <w:szCs w:val="24"/>
          <w:lang w:val="es-CO" w:eastAsia="en-US"/>
        </w:rPr>
        <w:t>reportar información financiera en los tiempos establecidos por las Circulares Externas emitidas por la SNS, le evitará traumatismos al generar su recibo de pag</w:t>
      </w:r>
      <w:r w:rsidR="00D775AA" w:rsidRPr="00FC1DD7">
        <w:rPr>
          <w:rFonts w:ascii="Gadugi" w:hAnsi="Gadugi" w:cs="Arial"/>
          <w:b/>
          <w:bCs/>
          <w:color w:val="009DD9" w:themeColor="accent2"/>
          <w:kern w:val="0"/>
          <w:szCs w:val="24"/>
          <w:lang w:val="es-CO" w:eastAsia="en-US"/>
        </w:rPr>
        <w:t>o.</w:t>
      </w:r>
      <w:bookmarkEnd w:id="0"/>
    </w:p>
    <w:p w14:paraId="6650BC0A" w14:textId="12BD6295" w:rsidR="00D775AA" w:rsidRPr="00D775AA" w:rsidRDefault="00D775AA" w:rsidP="00D775AA">
      <w:pPr>
        <w:spacing w:before="0" w:after="0"/>
        <w:ind w:left="0" w:right="0"/>
        <w:rPr>
          <w:sz w:val="22"/>
          <w:szCs w:val="22"/>
        </w:rPr>
      </w:pPr>
      <w:r>
        <w:rPr>
          <w:sz w:val="22"/>
          <w:szCs w:val="22"/>
        </w:rPr>
        <w:br w:type="page"/>
      </w:r>
    </w:p>
    <w:sectPr w:rsidR="00D775AA" w:rsidRPr="00D775AA" w:rsidSect="003A538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46B30" w14:textId="77777777" w:rsidR="00FC6C4A" w:rsidRDefault="00FC6C4A" w:rsidP="00A66B18">
      <w:pPr>
        <w:spacing w:before="0" w:after="0"/>
      </w:pPr>
      <w:r>
        <w:separator/>
      </w:r>
    </w:p>
  </w:endnote>
  <w:endnote w:type="continuationSeparator" w:id="0">
    <w:p w14:paraId="30622CB1" w14:textId="77777777" w:rsidR="00FC6C4A" w:rsidRDefault="00FC6C4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0763487"/>
      <w:docPartObj>
        <w:docPartGallery w:val="Page Numbers (Bottom of Page)"/>
        <w:docPartUnique/>
      </w:docPartObj>
    </w:sdtPr>
    <w:sdtEndPr/>
    <w:sdtContent>
      <w:p w14:paraId="0E3D1C95" w14:textId="77777777" w:rsidR="00C2523A" w:rsidRDefault="00C2523A">
        <w:pPr>
          <w:pStyle w:val="Piedepgina"/>
        </w:pPr>
        <w:r>
          <w:rPr>
            <w:noProof/>
          </w:rPr>
          <mc:AlternateContent>
            <mc:Choice Requires="wps">
              <w:drawing>
                <wp:anchor distT="0" distB="0" distL="114300" distR="114300" simplePos="0" relativeHeight="251661312" behindDoc="0" locked="0" layoutInCell="1" allowOverlap="1" wp14:anchorId="4C311A10" wp14:editId="4D7AF584">
                  <wp:simplePos x="0" y="0"/>
                  <wp:positionH relativeFrom="page">
                    <wp:align>right</wp:align>
                  </wp:positionH>
                  <wp:positionV relativeFrom="page">
                    <wp:align>bottom</wp:align>
                  </wp:positionV>
                  <wp:extent cx="2125980" cy="2054860"/>
                  <wp:effectExtent l="7620" t="0" r="0" b="2540"/>
                  <wp:wrapNone/>
                  <wp:docPr id="5" name="Triá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1C4FC" w14:textId="77777777" w:rsidR="00C2523A" w:rsidRDefault="00C2523A">
                              <w:pPr>
                                <w:jc w:val="center"/>
                                <w:rPr>
                                  <w:szCs w:val="72"/>
                                </w:rPr>
                              </w:pPr>
                              <w:r>
                                <w:rPr>
                                  <w:rFonts w:eastAsiaTheme="minorEastAsia" w:cs="Times New Roman"/>
                                  <w:color w:val="auto"/>
                                  <w:sz w:val="22"/>
                                  <w:szCs w:val="22"/>
                                </w:rPr>
                                <w:fldChar w:fldCharType="begin"/>
                              </w:r>
                              <w:r>
                                <w:instrText>PAGE    \* MERGEFORMAT</w:instrText>
                              </w:r>
                              <w:r>
                                <w:rPr>
                                  <w:rFonts w:eastAsiaTheme="minorEastAsia" w:cs="Times New Roman"/>
                                  <w:color w:val="auto"/>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11A1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 o:spid="_x0000_s1026" type="#_x0000_t5" style="position:absolute;left:0;text-align:left;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LcSUjYvAgAAJAQAAA4AAAAAAAAAAAAAAAAALgIAAGRy&#10;cy9lMm9Eb2MueG1sUEsBAi0AFAAGAAgAAAAhAFkk0QfcAAAABQEAAA8AAAAAAAAAAAAAAAAAiQQA&#10;AGRycy9kb3ducmV2LnhtbFBLBQYAAAAABAAEAPMAAACSBQAAAAA=&#10;" adj="21600" fillcolor="#d2eaf1" stroked="f">
                  <v:textbox>
                    <w:txbxContent>
                      <w:p w14:paraId="12C1C4FC" w14:textId="77777777" w:rsidR="00C2523A" w:rsidRDefault="00C2523A">
                        <w:pPr>
                          <w:jc w:val="center"/>
                          <w:rPr>
                            <w:szCs w:val="72"/>
                          </w:rPr>
                        </w:pPr>
                        <w:r>
                          <w:rPr>
                            <w:rFonts w:eastAsiaTheme="minorEastAsia" w:cs="Times New Roman"/>
                            <w:color w:val="auto"/>
                            <w:sz w:val="22"/>
                            <w:szCs w:val="22"/>
                          </w:rPr>
                          <w:fldChar w:fldCharType="begin"/>
                        </w:r>
                        <w:r>
                          <w:instrText>PAGE    \* MERGEFORMAT</w:instrText>
                        </w:r>
                        <w:r>
                          <w:rPr>
                            <w:rFonts w:eastAsiaTheme="minorEastAsia" w:cs="Times New Roman"/>
                            <w:color w:val="auto"/>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1CDE1" w14:textId="77777777" w:rsidR="00FC6C4A" w:rsidRDefault="00FC6C4A" w:rsidP="00A66B18">
      <w:pPr>
        <w:spacing w:before="0" w:after="0"/>
      </w:pPr>
      <w:r>
        <w:separator/>
      </w:r>
    </w:p>
  </w:footnote>
  <w:footnote w:type="continuationSeparator" w:id="0">
    <w:p w14:paraId="6ED96219" w14:textId="77777777" w:rsidR="00FC6C4A" w:rsidRDefault="00FC6C4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41CA5" w14:textId="69E7EF29" w:rsidR="004D5C4A" w:rsidRDefault="004D5C4A">
    <w:pPr>
      <w:pStyle w:val="Encabezado"/>
    </w:pPr>
    <w:r w:rsidRPr="0060694C">
      <w:rPr>
        <w:rFonts w:ascii="Gadugi" w:hAnsi="Gadugi"/>
        <w:noProof/>
        <w:szCs w:val="24"/>
        <w:lang w:val="es-MX"/>
      </w:rPr>
      <w:drawing>
        <wp:anchor distT="0" distB="0" distL="114300" distR="114300" simplePos="0" relativeHeight="251663360" behindDoc="0" locked="0" layoutInCell="1" allowOverlap="1" wp14:anchorId="01CED795" wp14:editId="773120E1">
          <wp:simplePos x="0" y="0"/>
          <wp:positionH relativeFrom="margin">
            <wp:posOffset>0</wp:posOffset>
          </wp:positionH>
          <wp:positionV relativeFrom="paragraph">
            <wp:posOffset>197485</wp:posOffset>
          </wp:positionV>
          <wp:extent cx="7012940" cy="747395"/>
          <wp:effectExtent l="0" t="0" r="0" b="0"/>
          <wp:wrapThrough wrapText="bothSides">
            <wp:wrapPolygon edited="0">
              <wp:start x="5281" y="0"/>
              <wp:lineTo x="4987" y="1652"/>
              <wp:lineTo x="4694" y="6607"/>
              <wp:lineTo x="4694" y="8809"/>
              <wp:lineTo x="0" y="9359"/>
              <wp:lineTo x="0" y="20921"/>
              <wp:lineTo x="21534" y="20921"/>
              <wp:lineTo x="21534" y="19820"/>
              <wp:lineTo x="10796" y="17618"/>
              <wp:lineTo x="21534" y="16517"/>
              <wp:lineTo x="21534" y="5506"/>
              <wp:lineTo x="6043" y="0"/>
              <wp:lineTo x="5281"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940" cy="747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B45F9"/>
    <w:multiLevelType w:val="hybridMultilevel"/>
    <w:tmpl w:val="510CAA5A"/>
    <w:lvl w:ilvl="0" w:tplc="240A0005">
      <w:start w:val="1"/>
      <w:numFmt w:val="bullet"/>
      <w:lvlText w:val=""/>
      <w:lvlJc w:val="left"/>
      <w:pPr>
        <w:ind w:left="361" w:hanging="360"/>
      </w:pPr>
      <w:rPr>
        <w:rFonts w:ascii="Wingdings" w:hAnsi="Wingdings" w:hint="default"/>
      </w:rPr>
    </w:lvl>
    <w:lvl w:ilvl="1" w:tplc="240A0003" w:tentative="1">
      <w:start w:val="1"/>
      <w:numFmt w:val="bullet"/>
      <w:lvlText w:val="o"/>
      <w:lvlJc w:val="left"/>
      <w:pPr>
        <w:ind w:left="1081" w:hanging="360"/>
      </w:pPr>
      <w:rPr>
        <w:rFonts w:ascii="Courier New" w:hAnsi="Courier New" w:cs="Courier New" w:hint="default"/>
      </w:rPr>
    </w:lvl>
    <w:lvl w:ilvl="2" w:tplc="240A0005" w:tentative="1">
      <w:start w:val="1"/>
      <w:numFmt w:val="bullet"/>
      <w:lvlText w:val=""/>
      <w:lvlJc w:val="left"/>
      <w:pPr>
        <w:ind w:left="1801" w:hanging="360"/>
      </w:pPr>
      <w:rPr>
        <w:rFonts w:ascii="Wingdings" w:hAnsi="Wingdings" w:hint="default"/>
      </w:rPr>
    </w:lvl>
    <w:lvl w:ilvl="3" w:tplc="240A0001" w:tentative="1">
      <w:start w:val="1"/>
      <w:numFmt w:val="bullet"/>
      <w:lvlText w:val=""/>
      <w:lvlJc w:val="left"/>
      <w:pPr>
        <w:ind w:left="2521" w:hanging="360"/>
      </w:pPr>
      <w:rPr>
        <w:rFonts w:ascii="Symbol" w:hAnsi="Symbol" w:hint="default"/>
      </w:rPr>
    </w:lvl>
    <w:lvl w:ilvl="4" w:tplc="240A0003" w:tentative="1">
      <w:start w:val="1"/>
      <w:numFmt w:val="bullet"/>
      <w:lvlText w:val="o"/>
      <w:lvlJc w:val="left"/>
      <w:pPr>
        <w:ind w:left="3241" w:hanging="360"/>
      </w:pPr>
      <w:rPr>
        <w:rFonts w:ascii="Courier New" w:hAnsi="Courier New" w:cs="Courier New" w:hint="default"/>
      </w:rPr>
    </w:lvl>
    <w:lvl w:ilvl="5" w:tplc="240A0005" w:tentative="1">
      <w:start w:val="1"/>
      <w:numFmt w:val="bullet"/>
      <w:lvlText w:val=""/>
      <w:lvlJc w:val="left"/>
      <w:pPr>
        <w:ind w:left="3961" w:hanging="360"/>
      </w:pPr>
      <w:rPr>
        <w:rFonts w:ascii="Wingdings" w:hAnsi="Wingdings" w:hint="default"/>
      </w:rPr>
    </w:lvl>
    <w:lvl w:ilvl="6" w:tplc="240A0001" w:tentative="1">
      <w:start w:val="1"/>
      <w:numFmt w:val="bullet"/>
      <w:lvlText w:val=""/>
      <w:lvlJc w:val="left"/>
      <w:pPr>
        <w:ind w:left="4681" w:hanging="360"/>
      </w:pPr>
      <w:rPr>
        <w:rFonts w:ascii="Symbol" w:hAnsi="Symbol" w:hint="default"/>
      </w:rPr>
    </w:lvl>
    <w:lvl w:ilvl="7" w:tplc="240A0003" w:tentative="1">
      <w:start w:val="1"/>
      <w:numFmt w:val="bullet"/>
      <w:lvlText w:val="o"/>
      <w:lvlJc w:val="left"/>
      <w:pPr>
        <w:ind w:left="5401" w:hanging="360"/>
      </w:pPr>
      <w:rPr>
        <w:rFonts w:ascii="Courier New" w:hAnsi="Courier New" w:cs="Courier New" w:hint="default"/>
      </w:rPr>
    </w:lvl>
    <w:lvl w:ilvl="8" w:tplc="240A0005" w:tentative="1">
      <w:start w:val="1"/>
      <w:numFmt w:val="bullet"/>
      <w:lvlText w:val=""/>
      <w:lvlJc w:val="left"/>
      <w:pPr>
        <w:ind w:left="6121" w:hanging="360"/>
      </w:pPr>
      <w:rPr>
        <w:rFonts w:ascii="Wingdings" w:hAnsi="Wingdings" w:hint="default"/>
      </w:rPr>
    </w:lvl>
  </w:abstractNum>
  <w:abstractNum w:abstractNumId="1" w15:restartNumberingAfterBreak="0">
    <w:nsid w:val="445C4099"/>
    <w:multiLevelType w:val="hybridMultilevel"/>
    <w:tmpl w:val="B9AEBA22"/>
    <w:lvl w:ilvl="0" w:tplc="5E6E3F4C">
      <w:start w:val="1"/>
      <w:numFmt w:val="bullet"/>
      <w:lvlText w:val=""/>
      <w:lvlJc w:val="left"/>
      <w:pPr>
        <w:ind w:left="360" w:hanging="360"/>
      </w:pPr>
      <w:rPr>
        <w:rFonts w:ascii="Wingdings" w:hAnsi="Wingdings" w:hint="default"/>
        <w:b/>
        <w:bCs/>
        <w:color w:val="17406D" w:themeColor="accent1"/>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4C907B75"/>
    <w:multiLevelType w:val="hybridMultilevel"/>
    <w:tmpl w:val="F61A0670"/>
    <w:lvl w:ilvl="0" w:tplc="2A288382">
      <w:start w:val="1"/>
      <w:numFmt w:val="decimal"/>
      <w:lvlText w:val="%1."/>
      <w:lvlJc w:val="left"/>
      <w:pPr>
        <w:ind w:left="720" w:hanging="360"/>
      </w:pPr>
      <w:rPr>
        <w:rFonts w:ascii="Gadugi" w:hAnsi="Gadugi" w:hint="default"/>
        <w:b/>
        <w:bCs/>
        <w:color w:val="00B050"/>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B33CA8"/>
    <w:multiLevelType w:val="hybridMultilevel"/>
    <w:tmpl w:val="1DF2575E"/>
    <w:lvl w:ilvl="0" w:tplc="2A288382">
      <w:start w:val="1"/>
      <w:numFmt w:val="decimal"/>
      <w:lvlText w:val="%1."/>
      <w:lvlJc w:val="left"/>
      <w:pPr>
        <w:ind w:left="360" w:hanging="360"/>
      </w:pPr>
      <w:rPr>
        <w:rFonts w:ascii="Gadugi" w:hAnsi="Gadugi" w:hint="default"/>
        <w:b/>
        <w:bCs/>
        <w:color w:val="00B050"/>
        <w:sz w:val="28"/>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2C62E67"/>
    <w:multiLevelType w:val="hybridMultilevel"/>
    <w:tmpl w:val="CE88F740"/>
    <w:lvl w:ilvl="0" w:tplc="5E6E3F4C">
      <w:start w:val="1"/>
      <w:numFmt w:val="bullet"/>
      <w:lvlText w:val=""/>
      <w:lvlJc w:val="left"/>
      <w:pPr>
        <w:ind w:left="360" w:hanging="360"/>
      </w:pPr>
      <w:rPr>
        <w:rFonts w:ascii="Wingdings" w:hAnsi="Wingdings" w:hint="default"/>
        <w:b/>
        <w:bCs/>
        <w:color w:val="17406D" w:themeColor="accent1"/>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55D5D8C"/>
    <w:multiLevelType w:val="hybridMultilevel"/>
    <w:tmpl w:val="FB90862A"/>
    <w:lvl w:ilvl="0" w:tplc="240A000D">
      <w:start w:val="1"/>
      <w:numFmt w:val="bullet"/>
      <w:lvlText w:val=""/>
      <w:lvlJc w:val="left"/>
      <w:pPr>
        <w:ind w:left="720" w:hanging="360"/>
      </w:pPr>
      <w:rPr>
        <w:rFonts w:ascii="Wingdings" w:hAnsi="Wingdings" w:hint="default"/>
        <w:b/>
        <w:bCs/>
        <w:color w:val="00B0F0"/>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824793C"/>
    <w:multiLevelType w:val="hybridMultilevel"/>
    <w:tmpl w:val="724677E8"/>
    <w:lvl w:ilvl="0" w:tplc="5E6E3F4C">
      <w:start w:val="1"/>
      <w:numFmt w:val="bullet"/>
      <w:lvlText w:val=""/>
      <w:lvlJc w:val="left"/>
      <w:pPr>
        <w:ind w:left="502" w:hanging="360"/>
      </w:pPr>
      <w:rPr>
        <w:rFonts w:ascii="Wingdings" w:hAnsi="Wingdings" w:hint="default"/>
        <w:b/>
        <w:bCs/>
        <w:color w:val="17406D" w:themeColor="accent1"/>
        <w:sz w:val="20"/>
        <w:szCs w:val="20"/>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7" w15:restartNumberingAfterBreak="0">
    <w:nsid w:val="6FBA0647"/>
    <w:multiLevelType w:val="hybridMultilevel"/>
    <w:tmpl w:val="38CC5BBC"/>
    <w:lvl w:ilvl="0" w:tplc="240A000D">
      <w:start w:val="1"/>
      <w:numFmt w:val="bullet"/>
      <w:lvlText w:val=""/>
      <w:lvlJc w:val="left"/>
      <w:pPr>
        <w:ind w:left="360" w:hanging="360"/>
      </w:pPr>
      <w:rPr>
        <w:rFonts w:ascii="Wingdings" w:hAnsi="Wingdings" w:hint="default"/>
        <w:b/>
        <w:bCs/>
        <w:color w:val="00B0F0"/>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7ABD02B8"/>
    <w:multiLevelType w:val="hybridMultilevel"/>
    <w:tmpl w:val="0EDA1B6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5"/>
  </w:num>
  <w:num w:numId="6">
    <w:abstractNumId w:val="7"/>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07"/>
    <w:rsid w:val="00026807"/>
    <w:rsid w:val="00051853"/>
    <w:rsid w:val="00057AE9"/>
    <w:rsid w:val="00066ABA"/>
    <w:rsid w:val="00083BAA"/>
    <w:rsid w:val="000A18DE"/>
    <w:rsid w:val="000D5B5F"/>
    <w:rsid w:val="0010021D"/>
    <w:rsid w:val="00103EAC"/>
    <w:rsid w:val="001053AD"/>
    <w:rsid w:val="0010680C"/>
    <w:rsid w:val="001424F7"/>
    <w:rsid w:val="00152B0B"/>
    <w:rsid w:val="001766D6"/>
    <w:rsid w:val="00192419"/>
    <w:rsid w:val="001C270D"/>
    <w:rsid w:val="001D0620"/>
    <w:rsid w:val="001D0B5A"/>
    <w:rsid w:val="001E2320"/>
    <w:rsid w:val="00214E28"/>
    <w:rsid w:val="00234171"/>
    <w:rsid w:val="003101B6"/>
    <w:rsid w:val="00352B81"/>
    <w:rsid w:val="00394757"/>
    <w:rsid w:val="003A0150"/>
    <w:rsid w:val="003A5388"/>
    <w:rsid w:val="003E24DF"/>
    <w:rsid w:val="00402D30"/>
    <w:rsid w:val="0041428F"/>
    <w:rsid w:val="00422808"/>
    <w:rsid w:val="0043790B"/>
    <w:rsid w:val="004707EE"/>
    <w:rsid w:val="00472AC8"/>
    <w:rsid w:val="004A2B0D"/>
    <w:rsid w:val="004D2495"/>
    <w:rsid w:val="004D5C4A"/>
    <w:rsid w:val="004E7C0E"/>
    <w:rsid w:val="00513437"/>
    <w:rsid w:val="005C2210"/>
    <w:rsid w:val="0060694C"/>
    <w:rsid w:val="00615018"/>
    <w:rsid w:val="0062123A"/>
    <w:rsid w:val="00646E75"/>
    <w:rsid w:val="006535E0"/>
    <w:rsid w:val="0069536D"/>
    <w:rsid w:val="006A7697"/>
    <w:rsid w:val="006C1597"/>
    <w:rsid w:val="006F6F10"/>
    <w:rsid w:val="007110AB"/>
    <w:rsid w:val="007518D9"/>
    <w:rsid w:val="00783E79"/>
    <w:rsid w:val="007B5AE8"/>
    <w:rsid w:val="007C184E"/>
    <w:rsid w:val="007F5192"/>
    <w:rsid w:val="0084154C"/>
    <w:rsid w:val="00884533"/>
    <w:rsid w:val="008B6F7A"/>
    <w:rsid w:val="009B10E5"/>
    <w:rsid w:val="009C1BF2"/>
    <w:rsid w:val="009D1CCC"/>
    <w:rsid w:val="009F6646"/>
    <w:rsid w:val="00A26FE7"/>
    <w:rsid w:val="00A66B18"/>
    <w:rsid w:val="00A6783B"/>
    <w:rsid w:val="00A96CF8"/>
    <w:rsid w:val="00AA089B"/>
    <w:rsid w:val="00AE1388"/>
    <w:rsid w:val="00AF3982"/>
    <w:rsid w:val="00B00088"/>
    <w:rsid w:val="00B50294"/>
    <w:rsid w:val="00B57D6E"/>
    <w:rsid w:val="00B60224"/>
    <w:rsid w:val="00B759DA"/>
    <w:rsid w:val="00C1682D"/>
    <w:rsid w:val="00C2523A"/>
    <w:rsid w:val="00C6367F"/>
    <w:rsid w:val="00C701F7"/>
    <w:rsid w:val="00C70786"/>
    <w:rsid w:val="00C96772"/>
    <w:rsid w:val="00D10958"/>
    <w:rsid w:val="00D26552"/>
    <w:rsid w:val="00D61A45"/>
    <w:rsid w:val="00D66593"/>
    <w:rsid w:val="00D775AA"/>
    <w:rsid w:val="00DE6DA2"/>
    <w:rsid w:val="00DF2D30"/>
    <w:rsid w:val="00E062F7"/>
    <w:rsid w:val="00E2760C"/>
    <w:rsid w:val="00E4786A"/>
    <w:rsid w:val="00E55D74"/>
    <w:rsid w:val="00E6540C"/>
    <w:rsid w:val="00E81E2A"/>
    <w:rsid w:val="00EE0952"/>
    <w:rsid w:val="00EE66FA"/>
    <w:rsid w:val="00EF36CF"/>
    <w:rsid w:val="00EF3DC0"/>
    <w:rsid w:val="00F136C7"/>
    <w:rsid w:val="00F37E5A"/>
    <w:rsid w:val="00F53201"/>
    <w:rsid w:val="00F87557"/>
    <w:rsid w:val="00FC1DD7"/>
    <w:rsid w:val="00FC6C4A"/>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15A2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tulo1">
    <w:name w:val="heading 1"/>
    <w:basedOn w:val="Normal"/>
    <w:next w:val="Normal"/>
    <w:link w:val="Ttulo1Car"/>
    <w:uiPriority w:val="9"/>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Textoennegrita">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before="0" w:after="0"/>
    </w:pPr>
    <w:rPr>
      <w:color w:val="FFFFFF" w:themeColor="background1"/>
    </w:r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Textodeglobo">
    <w:name w:val="Balloon Text"/>
    <w:basedOn w:val="Normal"/>
    <w:link w:val="TextodegloboCar"/>
    <w:uiPriority w:val="99"/>
    <w:semiHidden/>
    <w:unhideWhenUsed/>
    <w:rsid w:val="00026807"/>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6807"/>
    <w:rPr>
      <w:rFonts w:ascii="Segoe UI" w:eastAsiaTheme="minorHAnsi" w:hAnsi="Segoe UI" w:cs="Segoe UI"/>
      <w:color w:val="595959" w:themeColor="text1" w:themeTint="A6"/>
      <w:kern w:val="20"/>
      <w:sz w:val="18"/>
      <w:szCs w:val="18"/>
    </w:rPr>
  </w:style>
  <w:style w:type="character" w:styleId="Refdecomentario">
    <w:name w:val="annotation reference"/>
    <w:basedOn w:val="Fuentedeprrafopredeter"/>
    <w:uiPriority w:val="99"/>
    <w:semiHidden/>
    <w:unhideWhenUsed/>
    <w:rsid w:val="00D26552"/>
    <w:rPr>
      <w:sz w:val="16"/>
      <w:szCs w:val="16"/>
    </w:rPr>
  </w:style>
  <w:style w:type="paragraph" w:styleId="Textocomentario">
    <w:name w:val="annotation text"/>
    <w:basedOn w:val="Normal"/>
    <w:link w:val="TextocomentarioCar"/>
    <w:uiPriority w:val="99"/>
    <w:semiHidden/>
    <w:unhideWhenUsed/>
    <w:rsid w:val="00D26552"/>
    <w:rPr>
      <w:sz w:val="20"/>
    </w:rPr>
  </w:style>
  <w:style w:type="character" w:customStyle="1" w:styleId="TextocomentarioCar">
    <w:name w:val="Texto comentario Car"/>
    <w:basedOn w:val="Fuentedeprrafopredeter"/>
    <w:link w:val="Textocomentario"/>
    <w:uiPriority w:val="99"/>
    <w:semiHidden/>
    <w:rsid w:val="00D26552"/>
    <w:rPr>
      <w:rFonts w:eastAsiaTheme="minorHAnsi"/>
      <w:color w:val="595959" w:themeColor="text1" w:themeTint="A6"/>
      <w:kern w:val="20"/>
      <w:sz w:val="20"/>
      <w:szCs w:val="20"/>
    </w:rPr>
  </w:style>
  <w:style w:type="paragraph" w:styleId="Asuntodelcomentario">
    <w:name w:val="annotation subject"/>
    <w:basedOn w:val="Textocomentario"/>
    <w:next w:val="Textocomentario"/>
    <w:link w:val="AsuntodelcomentarioCar"/>
    <w:uiPriority w:val="99"/>
    <w:semiHidden/>
    <w:unhideWhenUsed/>
    <w:rsid w:val="00D26552"/>
    <w:rPr>
      <w:b/>
      <w:bCs/>
    </w:rPr>
  </w:style>
  <w:style w:type="character" w:customStyle="1" w:styleId="AsuntodelcomentarioCar">
    <w:name w:val="Asunto del comentario Car"/>
    <w:basedOn w:val="TextocomentarioCar"/>
    <w:link w:val="Asuntodelcomentario"/>
    <w:uiPriority w:val="99"/>
    <w:semiHidden/>
    <w:rsid w:val="00D26552"/>
    <w:rPr>
      <w:rFonts w:eastAsiaTheme="minorHAnsi"/>
      <w:b/>
      <w:bCs/>
      <w:color w:val="595959" w:themeColor="text1" w:themeTint="A6"/>
      <w:kern w:val="20"/>
      <w:sz w:val="20"/>
      <w:szCs w:val="20"/>
    </w:rPr>
  </w:style>
  <w:style w:type="paragraph" w:styleId="Prrafodelista">
    <w:name w:val="List Paragraph"/>
    <w:basedOn w:val="Normal"/>
    <w:next w:val="Normal"/>
    <w:uiPriority w:val="34"/>
    <w:qFormat/>
    <w:rsid w:val="00B60224"/>
    <w:pPr>
      <w:spacing w:before="0" w:after="200" w:line="276" w:lineRule="auto"/>
      <w:ind w:right="0"/>
      <w:contextualSpacing/>
    </w:pPr>
    <w:rPr>
      <w:color w:val="auto"/>
      <w:kern w:val="0"/>
      <w:szCs w:val="22"/>
      <w:lang w:val="es-CO" w:eastAsia="en-US"/>
    </w:rPr>
  </w:style>
  <w:style w:type="character" w:styleId="Hipervnculo">
    <w:name w:val="Hyperlink"/>
    <w:basedOn w:val="Fuentedeprrafopredeter"/>
    <w:uiPriority w:val="99"/>
    <w:unhideWhenUsed/>
    <w:rsid w:val="00C2523A"/>
    <w:rPr>
      <w:color w:val="F49100" w:themeColor="hyperlink"/>
      <w:u w:val="single"/>
    </w:rPr>
  </w:style>
  <w:style w:type="character" w:styleId="Mencinsinresolver">
    <w:name w:val="Unresolved Mention"/>
    <w:basedOn w:val="Fuentedeprrafopredeter"/>
    <w:uiPriority w:val="99"/>
    <w:semiHidden/>
    <w:unhideWhenUsed/>
    <w:rsid w:val="00C2523A"/>
    <w:rPr>
      <w:color w:val="605E5C"/>
      <w:shd w:val="clear" w:color="auto" w:fill="E1DFDD"/>
    </w:rPr>
  </w:style>
  <w:style w:type="table" w:styleId="Tablaconcuadrcula4-nfasis1">
    <w:name w:val="Grid Table 4 Accent 1"/>
    <w:basedOn w:val="Tablanormal"/>
    <w:uiPriority w:val="49"/>
    <w:rsid w:val="009C1BF2"/>
    <w:rPr>
      <w:rFonts w:eastAsiaTheme="minorHAnsi"/>
      <w:sz w:val="22"/>
      <w:szCs w:val="22"/>
      <w:lang w:val="es-CO" w:eastAsia="en-US"/>
    </w:rPr>
    <w:tblPr>
      <w:tblStyleRowBandSize w:val="1"/>
      <w:tblStyleColBandSize w:val="1"/>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insideV w:val="single" w:sz="4" w:space="0" w:color="4389D7" w:themeColor="accent1" w:themeTint="99"/>
      </w:tblBorders>
    </w:tblPr>
    <w:tblStylePr w:type="firstRow">
      <w:rPr>
        <w:b/>
        <w:bCs/>
        <w:color w:val="FFFFFF" w:themeColor="background1"/>
      </w:rPr>
      <w:tblPr/>
      <w:tcPr>
        <w:tcBorders>
          <w:top w:val="single" w:sz="4" w:space="0" w:color="17406D" w:themeColor="accent1"/>
          <w:left w:val="single" w:sz="4" w:space="0" w:color="17406D" w:themeColor="accent1"/>
          <w:bottom w:val="single" w:sz="4" w:space="0" w:color="17406D" w:themeColor="accent1"/>
          <w:right w:val="single" w:sz="4" w:space="0" w:color="17406D" w:themeColor="accent1"/>
          <w:insideH w:val="nil"/>
          <w:insideV w:val="nil"/>
        </w:tcBorders>
        <w:shd w:val="clear" w:color="auto" w:fill="17406D" w:themeFill="accent1"/>
      </w:tcPr>
    </w:tblStylePr>
    <w:tblStylePr w:type="lastRow">
      <w:rPr>
        <w:b/>
        <w:bCs/>
      </w:rPr>
      <w:tblPr/>
      <w:tcPr>
        <w:tcBorders>
          <w:top w:val="double" w:sz="4" w:space="0" w:color="17406D" w:themeColor="accent1"/>
        </w:tcBorders>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character" w:styleId="Hipervnculovisitado">
    <w:name w:val="FollowedHyperlink"/>
    <w:basedOn w:val="Fuentedeprrafopredeter"/>
    <w:uiPriority w:val="99"/>
    <w:semiHidden/>
    <w:unhideWhenUsed/>
    <w:rsid w:val="0010021D"/>
    <w:rPr>
      <w:color w:val="85DFD0" w:themeColor="followedHyperlink"/>
      <w:u w:val="single"/>
    </w:rPr>
  </w:style>
  <w:style w:type="character" w:styleId="Nmerodelnea">
    <w:name w:val="line number"/>
    <w:basedOn w:val="Fuentedeprrafopredeter"/>
    <w:uiPriority w:val="99"/>
    <w:semiHidden/>
    <w:unhideWhenUsed/>
    <w:rsid w:val="003A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6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genesis.supersalud.gov.co/" TargetMode="External"/><Relationship Id="rId3" Type="http://schemas.openxmlformats.org/officeDocument/2006/relationships/customXml" Target="../customXml/item3.xml"/><Relationship Id="rId21" Type="http://schemas.openxmlformats.org/officeDocument/2006/relationships/hyperlink" Target="https://www.supersalud.gov.co/es-co/atencion-ciudadano/tramites-y-servicios/tramit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cerebrodigital.org/post/Bitcoin-para-investigacion-en-salud" TargetMode="External"/><Relationship Id="rId20" Type="http://schemas.openxmlformats.org/officeDocument/2006/relationships/hyperlink" Target="http://visor.suit.gov.co/VisorSUIT/index.jsf?FI=2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s.supersalud.gov.co/PortalWeb/OTI/Otros%20Documentos%20OTI/MANUAL%20DEL%20USUARIO%20EXTERNO%20REGISTRO%20(VIGILADO)%2C%20INGRESO%20Y%20REPORTE%20A%20LA%20PLATAFORMA%20G%C3%89NESIS%20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cioneconomica.blogspot.com/2013/11/medicion-en-economia.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der.aguirre\AppData\Local\Microsoft\Office\16.0\DTS\es-ES%7b0FC1A77F-DD6D-4323-894E-5F739D9DF1FC%7d\%7b092E716E-4907-41F1-8A5F-9C0F304E9DEE%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Fecha_x0020_Layout xmlns="66a8f9e8-5802-4658-91da-ca8ce3aa67d5">2021-07-29T20:48:15+00:00</Fecha_x0020_Layout>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_dlc_DocId xmlns="66a8f9e8-5802-4658-91da-ca8ce3aa67d5">4TDX77SX3XFX-1025366537-3452</_dlc_DocId>
    <_dlc_DocIdUrl xmlns="66a8f9e8-5802-4658-91da-ca8ce3aa67d5">
      <Url>https://www.supersalud.gov.co/vigilados/_layouts/15/DocIdRedir.aspx?ID=4TDX77SX3XFX-1025366537-3452</Url>
      <Description>4TDX77SX3XFX-1025366537-3452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07E220296F84004AA6A32644804A2BAC" ma:contentTypeVersion="5"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d691f7ff0182311d79f7d80266f61e38">
  <xsd:schema xmlns:xsd="http://www.w3.org/2001/XMLSchema" xmlns:xs="http://www.w3.org/2001/XMLSchema" xmlns:p="http://schemas.microsoft.com/office/2006/metadata/properties" xmlns:ns1="http://schemas.microsoft.com/sharepoint/v3" xmlns:ns2="66a8f9e8-5802-4658-91da-ca8ce3aa67d5" targetNamespace="http://schemas.microsoft.com/office/2006/metadata/properties" ma:root="true" ma:fieldsID="be1fd96d7042d0f84d914bf964efb89c" ns1:_="" ns2:_="">
    <xsd:import namespace="http://schemas.microsoft.com/sharepoint/v3"/>
    <xsd:import namespace="66a8f9e8-5802-4658-91da-ca8ce3aa67d5"/>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2:Fecha_x0020_Layou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cion" ma:internalName="Comments">
      <xsd:simpleType>
        <xsd:restriction base="dms:Note">
          <xsd:maxLength value="255"/>
        </xsd:restriction>
      </xsd:simpleType>
    </xsd:element>
    <xsd:element name="PublishingStartDate" ma:index="9"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10"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PublishingContact" ma:index="11" nillable="true" ma:displayName="Contacto" ma:description="Contacto es una columna del sitio que crea la característica Publicación. Se usa en el tipo de contenido de la página como la persona o el grupo que constituye la persona de contacto de la página."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description="Dirección de correo electrónico de contacto es una columna del sitio que crea la característica Publicación. Se usa en el tipo de contenido de la página como la dirección de correo electrónico de la persona o el grupo que constituye la persona de contacto de la página." ma:internalName="PublishingContactEmail">
      <xsd:simpleType>
        <xsd:restriction base="dms:Text">
          <xsd:maxLength value="255"/>
        </xsd:restriction>
      </xsd:simpleType>
    </xsd:element>
    <xsd:element name="PublishingContactName" ma:index="13" nillable="true" ma:displayName="Nombre del contacto" ma:description="Nombre del contacto es una columna del sitio que crea la característica Publicación. Se usa en el tipo de contenido de la página como el nombre de la persona o el grupo que constituye la persona de contacto de la página." ma:internalName="PublishingContactName">
      <xsd:simpleType>
        <xsd:restriction base="dms:Text">
          <xsd:maxLength value="255"/>
        </xsd:restriction>
      </xsd:simpleType>
    </xsd:element>
    <xsd:element name="PublishingContactPicture" ma:index="14" nillable="true" ma:displayName="Imagen del contacto" ma:description="Imagen del contacto es una columna del sitio que crea la característica Publicación. Se usa en el tipo de contenido de la página como la imagen de la persona o el grupo que constituye la persona de contacto de la página."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noticia" ma:description="Imagen de informe es una columna del sitio que crea la característica Publicación. Se usa en el tipo de contenido de la página como la imagen de la página que se muestra en los informes de contenido, como el elemento web Contenido por búsqueda." ma:internalName="PublishingRollupImage">
      <xsd:simpleType>
        <xsd:restriction base="dms:Unknown"/>
      </xsd:simpleType>
    </xsd:element>
    <xsd:element name="Audience" ma:index="19" nillable="true" ma:displayName="Audiencias de destino" ma:description="Audiencias de destino es una columna del sitio que crea la característica Publicación. Se usa para especificar las audiencias a las que se dirigirá esta página." ma:internalName="Audience">
      <xsd:simpleType>
        <xsd:restriction base="dms:Unknown"/>
      </xsd:simpleType>
    </xsd:element>
    <xsd:element name="PublishingIsFurlPage" ma:index="20" nillable="true" ma:displayName="Ocultar direcciones URL físicas en la búsqueda" ma:description="Si se activa esta opción, la dirección URL física de esta página no se mostrará en los resultados de búsqueda. En su lugar, se mostrarán las direcciones URL descriptivas asignadas a esta página." ma:internalName="PublishingIsFurlPage">
      <xsd:simpleType>
        <xsd:restriction base="dms:Boolean"/>
      </xsd:simpleType>
    </xsd:element>
    <xsd:element name="SeoBrowserTitle" ma:index="21" nillable="true" ma:displayName="Título del explorador" ma:description="Título del explorador es una columna del sitio creada por la característica Publicación. Indica el título que aparece en la parte superior de la ventana del explorador y puede aparecer en los resultados de búsqueda de Internet." ma:hidden="true" ma:indexed="true" ma:internalName="SeoBrowserTitle">
      <xsd:simpleType>
        <xsd:restriction base="dms:Text"/>
      </xsd:simpleType>
    </xsd:element>
    <xsd:element name="SeoMetaDescription" ma:index="22"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element name="SeoKeywords" ma:index="23" nillable="true" ma:displayName="Meta Keywords" ma:description="Meta Keywords" ma:internalName="SeoKeywords">
      <xsd:simpleType>
        <xsd:restriction base="dms:Note">
          <xsd:maxLength value="255"/>
        </xsd:restriction>
      </xsd:simpleType>
    </xsd:element>
    <xsd:element name="SeoRobotsNoIndex" ma:index="24" nillable="true" ma:displayName="Ocultar en los motores de búsqueda de Internet" ma:description="Ocultar en los motores de búsqueda de Internet es una columna del sitio creada por la característica Publicación. Se usa para indicar a los rastreadores de los motores de búsqueda que una página determinada no se debe indizar."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a8f9e8-5802-4658-91da-ca8ce3aa67d5" elementFormDefault="qualified">
    <xsd:import namespace="http://schemas.microsoft.com/office/2006/documentManagement/types"/>
    <xsd:import namespace="http://schemas.microsoft.com/office/infopath/2007/PartnerControls"/>
    <xsd:element name="Fecha_x0020_Layout" ma:index="25" nillable="true" ma:displayName="Fecha de actulización" ma:default="[today]" ma:format="DateOnly" ma:internalName="Fecha_x0020_Layout">
      <xsd:simpleType>
        <xsd:restriction base="dms:DateTime"/>
      </xsd:simpleType>
    </xsd:element>
    <xsd:element name="_dlc_DocId" ma:index="26" nillable="true" ma:displayName="Valor de Id. de documento" ma:description="El valor del identificador de documento asignado a este elemento." ma:internalName="_dlc_DocId" ma:readOnly="true">
      <xsd:simpleType>
        <xsd:restriction base="dms:Text"/>
      </xsd:simpleType>
    </xsd:element>
    <xsd:element name="_dlc_DocIdUrl" ma:index="2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011972-4DE4-4752-BE77-6A4E3203420C}"/>
</file>

<file path=customXml/itemProps2.xml><?xml version="1.0" encoding="utf-8"?>
<ds:datastoreItem xmlns:ds="http://schemas.openxmlformats.org/officeDocument/2006/customXml" ds:itemID="{D072AD07-53A3-41FC-A530-2744C14395A4}"/>
</file>

<file path=customXml/itemProps3.xml><?xml version="1.0" encoding="utf-8"?>
<ds:datastoreItem xmlns:ds="http://schemas.openxmlformats.org/officeDocument/2006/customXml" ds:itemID="{EA04023A-A2A1-445E-8B7C-04FB2DBA5906}"/>
</file>

<file path=customXml/itemProps4.xml><?xml version="1.0" encoding="utf-8"?>
<ds:datastoreItem xmlns:ds="http://schemas.openxmlformats.org/officeDocument/2006/customXml" ds:itemID="{0F64BC73-DA8C-4760-8F15-8ADEF5F6E857}"/>
</file>

<file path=customXml/itemProps5.xml><?xml version="1.0" encoding="utf-8"?>
<ds:datastoreItem xmlns:ds="http://schemas.openxmlformats.org/officeDocument/2006/customXml" ds:itemID="{AAC6846D-4B86-4A0F-96C4-C539EBBD0475}"/>
</file>

<file path=docProps/app.xml><?xml version="1.0" encoding="utf-8"?>
<Properties xmlns="http://schemas.openxmlformats.org/officeDocument/2006/extended-properties" xmlns:vt="http://schemas.openxmlformats.org/officeDocument/2006/docPropsVTypes">
  <Template>{092E716E-4907-41F1-8A5F-9C0F304E9DEE}tf56348247_win32</Template>
  <TotalTime>0</TotalTime>
  <Pages>4</Pages>
  <Words>968</Words>
  <Characters>5325</Characters>
  <Application>Microsoft Office Word</Application>
  <DocSecurity>4</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2021-07-27T22:59:00Z</dcterms:created>
  <dcterms:modified xsi:type="dcterms:W3CDTF">2021-07-27T22:59:00Z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0x010100C568DB52D9D0A14D9B2FDCC96666E9F2007948130EC3DB064584E219954237AF390007E220296F84004AA6A32644804A2BAC</vt:lpwstr>
  </property>
  <property fmtid="{D5CDD505-2E9C-101B-9397-08002B2CF9AE}" pid="3" name="_dlc_DocIdItemGuid">
    <vt:lpwstr>84acc2cb-4825-4c85-a31f-ef9f22b4c7b4</vt:lpwstr>
  </property>
</Properties>
</file>